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2319EA2A" w:rsidR="00394CE1" w:rsidRPr="00E647DA" w:rsidRDefault="004238C2" w:rsidP="00AA439E">
      <w:pPr>
        <w:spacing w:after="0" w:line="240" w:lineRule="auto"/>
        <w:ind w:left="4536" w:right="18" w:firstLine="0"/>
        <w:rPr>
          <w:color w:val="auto"/>
          <w:szCs w:val="24"/>
        </w:rPr>
      </w:pPr>
      <w:r w:rsidRPr="00E647DA">
        <w:rPr>
          <w:b/>
          <w:color w:val="auto"/>
          <w:szCs w:val="24"/>
        </w:rPr>
        <w:t xml:space="preserve">COMISIÓN PERMANENTE DE </w:t>
      </w:r>
      <w:r w:rsidR="00244760" w:rsidRPr="00E647DA">
        <w:rPr>
          <w:b/>
          <w:color w:val="auto"/>
          <w:szCs w:val="24"/>
        </w:rPr>
        <w:t>PRESUPUESTO, PATRIMONIO ESTATAL</w:t>
      </w:r>
      <w:r w:rsidR="000C524D" w:rsidRPr="00E647DA">
        <w:rPr>
          <w:b/>
          <w:color w:val="auto"/>
          <w:szCs w:val="24"/>
        </w:rPr>
        <w:t xml:space="preserve"> Y </w:t>
      </w:r>
      <w:r w:rsidR="00184BD5" w:rsidRPr="00E647DA">
        <w:rPr>
          <w:b/>
          <w:color w:val="auto"/>
          <w:szCs w:val="24"/>
        </w:rPr>
        <w:t>MUNICIPAL.</w:t>
      </w:r>
      <w:r w:rsidR="008728B3" w:rsidRPr="00E647DA">
        <w:rPr>
          <w:b/>
          <w:color w:val="auto"/>
          <w:szCs w:val="24"/>
        </w:rPr>
        <w:t xml:space="preserve"> </w:t>
      </w:r>
      <w:r w:rsidR="00AA439E" w:rsidRPr="00E647DA">
        <w:rPr>
          <w:color w:val="auto"/>
          <w:szCs w:val="24"/>
        </w:rPr>
        <w:t xml:space="preserve">DIPUTADAS Y </w:t>
      </w:r>
      <w:r w:rsidRPr="00E647DA">
        <w:rPr>
          <w:color w:val="auto"/>
          <w:szCs w:val="24"/>
        </w:rPr>
        <w:t xml:space="preserve">DIPUTADOS: </w:t>
      </w:r>
      <w:r w:rsidR="00042096" w:rsidRPr="00E647DA">
        <w:rPr>
          <w:color w:val="auto"/>
          <w:szCs w:val="24"/>
        </w:rPr>
        <w:t xml:space="preserve">JESÚS EFRÉN PÉREZ BALLOTE, HARRY GERARDO RODRÍGUEZ BOTELLO FIERRO, JOSÉ CRESCENCIO GUTIÉRREZ GONZÁLEZ, CARMEN GUADALUPE GONZÁLEZ MARTÍN, DAFNE CELINA LÓPEZ OSORIO, INGRID DEL PILAR SANTOS DÍAZ, ALEJANDRA </w:t>
      </w:r>
      <w:r w:rsidR="00F63396">
        <w:rPr>
          <w:color w:val="auto"/>
          <w:szCs w:val="24"/>
        </w:rPr>
        <w:t>DE LOS ÁNGELES NOVELO SEGURA, VI</w:t>
      </w:r>
      <w:r w:rsidR="00042096" w:rsidRPr="00E647DA">
        <w:rPr>
          <w:color w:val="auto"/>
          <w:szCs w:val="24"/>
        </w:rPr>
        <w:t>CTOR HUGO LOZANO POVEDA Y FABIOLA LOEZA NOVELO</w:t>
      </w:r>
      <w:r w:rsidR="00184BD5" w:rsidRPr="00E647DA">
        <w:rPr>
          <w:color w:val="auto"/>
          <w:szCs w:val="24"/>
        </w:rPr>
        <w:t>.</w:t>
      </w:r>
      <w:r w:rsidR="00AC6C54" w:rsidRPr="00E647DA">
        <w:rPr>
          <w:color w:val="auto"/>
          <w:szCs w:val="24"/>
        </w:rPr>
        <w:t xml:space="preserve"> - - - - - - - </w:t>
      </w:r>
      <w:r w:rsidR="00184BD5" w:rsidRPr="00E647DA">
        <w:rPr>
          <w:color w:val="auto"/>
          <w:szCs w:val="24"/>
        </w:rPr>
        <w:t xml:space="preserve">- </w:t>
      </w:r>
      <w:r w:rsidR="0042119C" w:rsidRPr="00E647DA">
        <w:rPr>
          <w:color w:val="auto"/>
          <w:szCs w:val="24"/>
        </w:rPr>
        <w:t>-</w:t>
      </w:r>
      <w:r w:rsidR="00BF0468" w:rsidRPr="00E647DA">
        <w:rPr>
          <w:color w:val="auto"/>
          <w:szCs w:val="24"/>
        </w:rPr>
        <w:t xml:space="preserve"> - - - - - - -</w:t>
      </w:r>
      <w:r w:rsidR="00113C9C" w:rsidRPr="00E647DA">
        <w:rPr>
          <w:color w:val="auto"/>
          <w:szCs w:val="24"/>
        </w:rPr>
        <w:t xml:space="preserve"> -</w:t>
      </w:r>
    </w:p>
    <w:p w14:paraId="42178C39" w14:textId="77777777" w:rsidR="001B1253" w:rsidRPr="00E647DA" w:rsidRDefault="001B1253" w:rsidP="00AF1A26">
      <w:pPr>
        <w:spacing w:after="0" w:line="360" w:lineRule="auto"/>
        <w:ind w:left="0" w:right="62" w:firstLine="708"/>
        <w:jc w:val="left"/>
        <w:rPr>
          <w:b/>
          <w:color w:val="auto"/>
          <w:szCs w:val="24"/>
        </w:rPr>
      </w:pPr>
    </w:p>
    <w:p w14:paraId="61776289" w14:textId="30C7C80B" w:rsidR="0028596B" w:rsidRPr="00E647DA" w:rsidRDefault="004238C2" w:rsidP="00AF1A26">
      <w:pPr>
        <w:spacing w:after="0" w:line="360" w:lineRule="auto"/>
        <w:ind w:left="0" w:right="62" w:firstLine="0"/>
        <w:jc w:val="left"/>
        <w:rPr>
          <w:b/>
          <w:color w:val="auto"/>
          <w:szCs w:val="24"/>
        </w:rPr>
      </w:pPr>
      <w:r w:rsidRPr="00E647DA">
        <w:rPr>
          <w:b/>
          <w:color w:val="auto"/>
          <w:szCs w:val="24"/>
        </w:rPr>
        <w:t>H</w:t>
      </w:r>
      <w:r w:rsidR="00EF1207" w:rsidRPr="00E647DA">
        <w:rPr>
          <w:b/>
          <w:color w:val="auto"/>
          <w:szCs w:val="24"/>
        </w:rPr>
        <w:t>ONORABLE</w:t>
      </w:r>
      <w:r w:rsidR="00993178" w:rsidRPr="00E647DA">
        <w:rPr>
          <w:b/>
          <w:color w:val="auto"/>
          <w:szCs w:val="24"/>
        </w:rPr>
        <w:t xml:space="preserve"> CONGRESO DEL ESTADO</w:t>
      </w:r>
      <w:r w:rsidR="00993934" w:rsidRPr="00E647DA">
        <w:rPr>
          <w:b/>
          <w:color w:val="auto"/>
          <w:szCs w:val="24"/>
        </w:rPr>
        <w:t>.</w:t>
      </w:r>
      <w:r w:rsidR="008E54F4" w:rsidRPr="00E647DA">
        <w:rPr>
          <w:b/>
          <w:color w:val="auto"/>
          <w:szCs w:val="24"/>
        </w:rPr>
        <w:br/>
      </w:r>
    </w:p>
    <w:p w14:paraId="5B4D480D" w14:textId="7A9FC3CA" w:rsidR="002F72B8" w:rsidRPr="00E647DA" w:rsidRDefault="000456BB" w:rsidP="00AF1A26">
      <w:pPr>
        <w:spacing w:after="0" w:line="360" w:lineRule="auto"/>
        <w:ind w:left="0" w:right="62" w:firstLine="0"/>
        <w:rPr>
          <w:color w:val="auto"/>
          <w:szCs w:val="24"/>
        </w:rPr>
      </w:pPr>
      <w:r w:rsidRPr="00E647DA">
        <w:rPr>
          <w:color w:val="auto"/>
          <w:szCs w:val="24"/>
        </w:rPr>
        <w:t>En sesión</w:t>
      </w:r>
      <w:r w:rsidR="00770BE0" w:rsidRPr="00E647DA">
        <w:rPr>
          <w:color w:val="auto"/>
          <w:szCs w:val="24"/>
        </w:rPr>
        <w:t xml:space="preserve"> de la Diputación Permanente, </w:t>
      </w:r>
      <w:r w:rsidRPr="00E647DA">
        <w:rPr>
          <w:color w:val="auto"/>
          <w:szCs w:val="24"/>
        </w:rPr>
        <w:t xml:space="preserve">celebrada en fecha </w:t>
      </w:r>
      <w:r w:rsidR="00F63396" w:rsidRPr="00F63396">
        <w:rPr>
          <w:color w:val="auto"/>
          <w:szCs w:val="24"/>
        </w:rPr>
        <w:t>16</w:t>
      </w:r>
      <w:r w:rsidR="00C529B6" w:rsidRPr="00F63396">
        <w:rPr>
          <w:color w:val="auto"/>
          <w:szCs w:val="24"/>
        </w:rPr>
        <w:t xml:space="preserve"> </w:t>
      </w:r>
      <w:r w:rsidRPr="00F63396">
        <w:rPr>
          <w:color w:val="auto"/>
          <w:szCs w:val="24"/>
        </w:rPr>
        <w:t xml:space="preserve">de </w:t>
      </w:r>
      <w:r w:rsidR="00770BE0" w:rsidRPr="00F63396">
        <w:rPr>
          <w:color w:val="auto"/>
          <w:szCs w:val="24"/>
        </w:rPr>
        <w:t>agosto</w:t>
      </w:r>
      <w:r w:rsidR="00770BE0" w:rsidRPr="00E647DA">
        <w:rPr>
          <w:color w:val="auto"/>
          <w:szCs w:val="24"/>
        </w:rPr>
        <w:t xml:space="preserve"> </w:t>
      </w:r>
      <w:r w:rsidRPr="00E647DA">
        <w:rPr>
          <w:color w:val="auto"/>
          <w:szCs w:val="24"/>
        </w:rPr>
        <w:t xml:space="preserve">del año en curso, se turnó a esta Comisión Permanente de </w:t>
      </w:r>
      <w:bookmarkStart w:id="0" w:name="_Hlk36140871"/>
      <w:r w:rsidRPr="00E647DA">
        <w:rPr>
          <w:color w:val="auto"/>
          <w:szCs w:val="24"/>
        </w:rPr>
        <w:t>Presupuesto, Patrimonio Estatal y Municipal</w:t>
      </w:r>
      <w:bookmarkEnd w:id="0"/>
      <w:r w:rsidRPr="00E647DA">
        <w:rPr>
          <w:color w:val="auto"/>
          <w:szCs w:val="24"/>
        </w:rPr>
        <w:t xml:space="preserve">, para su estudio, análisis y dictamen respectivo, la iniciativa de </w:t>
      </w:r>
      <w:r w:rsidR="00887D89" w:rsidRPr="00E647DA">
        <w:rPr>
          <w:color w:val="auto"/>
          <w:szCs w:val="24"/>
        </w:rPr>
        <w:t xml:space="preserve">Decreto por el que se autoriza la donación de </w:t>
      </w:r>
      <w:r w:rsidR="00BE5196" w:rsidRPr="00E647DA">
        <w:rPr>
          <w:color w:val="auto"/>
          <w:szCs w:val="24"/>
        </w:rPr>
        <w:t xml:space="preserve">un bien inmueble </w:t>
      </w:r>
      <w:r w:rsidR="00887D89" w:rsidRPr="00E647DA">
        <w:rPr>
          <w:color w:val="auto"/>
          <w:szCs w:val="24"/>
        </w:rPr>
        <w:t xml:space="preserve">del patrimonio estatal a favor de la </w:t>
      </w:r>
      <w:r w:rsidR="00F63396">
        <w:rPr>
          <w:rFonts w:eastAsia="Century Gothic"/>
        </w:rPr>
        <w:t>Auditoría Superior</w:t>
      </w:r>
      <w:r w:rsidR="000F7398" w:rsidRPr="00EC30E8">
        <w:rPr>
          <w:rFonts w:eastAsia="Century Gothic"/>
        </w:rPr>
        <w:t xml:space="preserve"> del Estado de Yucatán</w:t>
      </w:r>
      <w:r w:rsidR="00CD0099">
        <w:rPr>
          <w:color w:val="auto"/>
          <w:szCs w:val="24"/>
        </w:rPr>
        <w:t>, suscrita por e</w:t>
      </w:r>
      <w:r w:rsidR="00CD0099" w:rsidRPr="001F4888">
        <w:t xml:space="preserve">l Lic. Mauricio Vila </w:t>
      </w:r>
      <w:proofErr w:type="spellStart"/>
      <w:r w:rsidR="00CD0099" w:rsidRPr="001F4888">
        <w:t>Dosal</w:t>
      </w:r>
      <w:proofErr w:type="spellEnd"/>
      <w:r w:rsidR="00CD0099" w:rsidRPr="001F4888">
        <w:rPr>
          <w:b/>
        </w:rPr>
        <w:t xml:space="preserve"> </w:t>
      </w:r>
      <w:r w:rsidR="00CD0099" w:rsidRPr="001F4888">
        <w:t xml:space="preserve">y la </w:t>
      </w:r>
      <w:proofErr w:type="spellStart"/>
      <w:r w:rsidR="00CD0099" w:rsidRPr="001F4888">
        <w:t>Abog</w:t>
      </w:r>
      <w:proofErr w:type="spellEnd"/>
      <w:r w:rsidR="00CD0099" w:rsidRPr="001F4888">
        <w:t>. María Dolores Fritz Sierra, Gobernador y Secretaria General de Gobierno, ambos del Estado de Yucatán, respectivamente</w:t>
      </w:r>
      <w:r w:rsidR="002F72B8" w:rsidRPr="00E647DA">
        <w:rPr>
          <w:color w:val="auto"/>
          <w:szCs w:val="24"/>
        </w:rPr>
        <w:t xml:space="preserve">. </w:t>
      </w:r>
    </w:p>
    <w:p w14:paraId="4868A599" w14:textId="434290EE" w:rsidR="000456BB" w:rsidRPr="00E647DA" w:rsidRDefault="000456BB" w:rsidP="00AF1A26">
      <w:pPr>
        <w:spacing w:after="0" w:line="360" w:lineRule="auto"/>
        <w:ind w:left="0" w:right="62" w:firstLine="708"/>
        <w:rPr>
          <w:color w:val="auto"/>
          <w:szCs w:val="24"/>
        </w:rPr>
      </w:pPr>
    </w:p>
    <w:p w14:paraId="71A5AEE7" w14:textId="4E4FC380" w:rsidR="000456BB" w:rsidRPr="00E647DA" w:rsidRDefault="000456BB" w:rsidP="00AF1A26">
      <w:pPr>
        <w:spacing w:after="0" w:line="360" w:lineRule="auto"/>
        <w:ind w:left="0" w:right="62" w:firstLine="708"/>
        <w:rPr>
          <w:color w:val="auto"/>
          <w:szCs w:val="24"/>
        </w:rPr>
      </w:pPr>
      <w:r w:rsidRPr="00E647DA">
        <w:rPr>
          <w:color w:val="auto"/>
          <w:szCs w:val="24"/>
        </w:rPr>
        <w:t xml:space="preserve">Las diputadas y diputados integrantes de esta </w:t>
      </w:r>
      <w:r w:rsidR="00BD45CF" w:rsidRPr="00E647DA">
        <w:rPr>
          <w:color w:val="auto"/>
          <w:szCs w:val="24"/>
        </w:rPr>
        <w:t>c</w:t>
      </w:r>
      <w:r w:rsidRPr="00E647DA">
        <w:rPr>
          <w:color w:val="auto"/>
          <w:szCs w:val="24"/>
        </w:rPr>
        <w:t xml:space="preserve">omisión </w:t>
      </w:r>
      <w:r w:rsidR="00BD45CF" w:rsidRPr="00E647DA">
        <w:rPr>
          <w:color w:val="auto"/>
          <w:szCs w:val="24"/>
        </w:rPr>
        <w:t>p</w:t>
      </w:r>
      <w:r w:rsidRPr="00E647DA">
        <w:rPr>
          <w:color w:val="auto"/>
          <w:szCs w:val="24"/>
        </w:rPr>
        <w:t xml:space="preserve">ermanente, en los trabajos de estudio y análisis de la solicitud antes mencionada, tomamos en consideración los siguientes, </w:t>
      </w:r>
    </w:p>
    <w:p w14:paraId="6CE6EBE2" w14:textId="77777777" w:rsidR="00BD4C86" w:rsidRDefault="00BD4C86" w:rsidP="00AF1A26">
      <w:pPr>
        <w:spacing w:after="0" w:line="360" w:lineRule="auto"/>
        <w:ind w:left="0" w:right="62" w:firstLine="708"/>
        <w:rPr>
          <w:color w:val="auto"/>
          <w:szCs w:val="24"/>
        </w:rPr>
      </w:pPr>
    </w:p>
    <w:p w14:paraId="0E70192F" w14:textId="77777777" w:rsidR="000F4AAD" w:rsidRPr="00E647DA" w:rsidRDefault="000F4AAD" w:rsidP="00AF1A26">
      <w:pPr>
        <w:spacing w:after="0" w:line="360" w:lineRule="auto"/>
        <w:ind w:left="0" w:right="62" w:firstLine="708"/>
        <w:rPr>
          <w:color w:val="auto"/>
          <w:szCs w:val="24"/>
        </w:rPr>
      </w:pPr>
    </w:p>
    <w:p w14:paraId="004F38EB" w14:textId="53B17C7C" w:rsidR="0028596B" w:rsidRPr="00E647DA" w:rsidRDefault="004D055E" w:rsidP="00A56916">
      <w:pPr>
        <w:spacing w:after="0" w:line="360" w:lineRule="auto"/>
        <w:ind w:left="0" w:right="62" w:firstLine="0"/>
        <w:jc w:val="center"/>
        <w:rPr>
          <w:b/>
          <w:color w:val="auto"/>
          <w:szCs w:val="24"/>
          <w:lang w:val="pt-BR"/>
        </w:rPr>
      </w:pPr>
      <w:r w:rsidRPr="00E647DA">
        <w:rPr>
          <w:b/>
          <w:color w:val="auto"/>
          <w:szCs w:val="24"/>
          <w:lang w:val="pt-BR"/>
        </w:rPr>
        <w:lastRenderedPageBreak/>
        <w:t>A N T E C E D E N T E S</w:t>
      </w:r>
    </w:p>
    <w:p w14:paraId="71F438A8" w14:textId="77777777" w:rsidR="00BD4C86" w:rsidRPr="00E647DA" w:rsidRDefault="00BD4C86" w:rsidP="00A56916">
      <w:pPr>
        <w:spacing w:after="0" w:line="240" w:lineRule="auto"/>
        <w:ind w:left="0" w:right="62" w:firstLine="0"/>
        <w:rPr>
          <w:color w:val="auto"/>
          <w:szCs w:val="24"/>
          <w:lang w:val="pt-BR"/>
        </w:rPr>
      </w:pPr>
    </w:p>
    <w:p w14:paraId="69E4C19C" w14:textId="17A96676" w:rsidR="009C4358" w:rsidRPr="00300149" w:rsidRDefault="00667A41" w:rsidP="00AF1A26">
      <w:pPr>
        <w:spacing w:after="0" w:line="360" w:lineRule="auto"/>
        <w:ind w:left="0" w:right="62" w:firstLine="0"/>
        <w:rPr>
          <w:color w:val="auto"/>
          <w:szCs w:val="24"/>
          <w:lang w:val="es-ES"/>
        </w:rPr>
      </w:pPr>
      <w:r w:rsidRPr="00E647DA">
        <w:rPr>
          <w:b/>
          <w:color w:val="auto"/>
          <w:szCs w:val="24"/>
        </w:rPr>
        <w:t>PRIMERO.</w:t>
      </w:r>
      <w:r w:rsidR="00BF0468" w:rsidRPr="00E647DA">
        <w:rPr>
          <w:b/>
          <w:color w:val="auto"/>
          <w:szCs w:val="24"/>
        </w:rPr>
        <w:t xml:space="preserve"> </w:t>
      </w:r>
      <w:r w:rsidR="009C4358" w:rsidRPr="00E647DA">
        <w:rPr>
          <w:color w:val="auto"/>
          <w:szCs w:val="24"/>
          <w:lang w:val="es-ES"/>
        </w:rPr>
        <w:t xml:space="preserve">En fecha </w:t>
      </w:r>
      <w:r w:rsidR="00F63396">
        <w:rPr>
          <w:color w:val="auto"/>
          <w:szCs w:val="24"/>
          <w:lang w:val="es-ES"/>
        </w:rPr>
        <w:t>14 de agosto</w:t>
      </w:r>
      <w:r w:rsidR="00F47D28">
        <w:rPr>
          <w:color w:val="auto"/>
          <w:szCs w:val="24"/>
          <w:lang w:val="es-ES"/>
        </w:rPr>
        <w:t xml:space="preserve"> </w:t>
      </w:r>
      <w:r w:rsidR="009C4358" w:rsidRPr="00E647DA">
        <w:rPr>
          <w:color w:val="auto"/>
          <w:szCs w:val="24"/>
          <w:lang w:val="es-ES"/>
        </w:rPr>
        <w:t>del presente año,</w:t>
      </w:r>
      <w:r w:rsidR="00300149">
        <w:rPr>
          <w:color w:val="auto"/>
          <w:szCs w:val="24"/>
          <w:lang w:val="es-ES"/>
        </w:rPr>
        <w:t xml:space="preserve"> e</w:t>
      </w:r>
      <w:r w:rsidR="00A56916">
        <w:t>l Licenciado</w:t>
      </w:r>
      <w:r w:rsidR="00300149" w:rsidRPr="001F4888">
        <w:t xml:space="preserve"> Mauricio Vila </w:t>
      </w:r>
      <w:proofErr w:type="spellStart"/>
      <w:r w:rsidR="00300149" w:rsidRPr="001F4888">
        <w:t>Dosal</w:t>
      </w:r>
      <w:proofErr w:type="spellEnd"/>
      <w:r w:rsidR="00300149" w:rsidRPr="001F4888">
        <w:rPr>
          <w:b/>
        </w:rPr>
        <w:t xml:space="preserve"> </w:t>
      </w:r>
      <w:r w:rsidR="00A56916">
        <w:t>y la Abogada</w:t>
      </w:r>
      <w:r w:rsidR="00300149" w:rsidRPr="001F4888">
        <w:t xml:space="preserve"> María Dolores Fritz Sierra, Gobernador y Secretaria General de Gobierno, ambos del Estado de Yucatán, respectivamente</w:t>
      </w:r>
      <w:r w:rsidR="00EA1164">
        <w:t>,</w:t>
      </w:r>
      <w:r w:rsidR="006209B4" w:rsidRPr="00E647DA">
        <w:rPr>
          <w:color w:val="auto"/>
          <w:szCs w:val="24"/>
        </w:rPr>
        <w:t xml:space="preserve"> </w:t>
      </w:r>
      <w:r w:rsidR="009C4358" w:rsidRPr="00E647DA">
        <w:rPr>
          <w:color w:val="auto"/>
          <w:szCs w:val="24"/>
          <w:lang w:val="es-ES"/>
        </w:rPr>
        <w:t xml:space="preserve">presentaron ante esta Soberanía, una iniciativa de </w:t>
      </w:r>
      <w:r w:rsidR="00F63396" w:rsidRPr="00E647DA">
        <w:rPr>
          <w:color w:val="auto"/>
          <w:szCs w:val="24"/>
        </w:rPr>
        <w:t xml:space="preserve">Decreto por el que se autoriza la donación de un bien inmueble del patrimonio estatal a favor de la </w:t>
      </w:r>
      <w:r w:rsidR="00F63396">
        <w:rPr>
          <w:rFonts w:eastAsia="Century Gothic"/>
        </w:rPr>
        <w:t>Auditoría Superior</w:t>
      </w:r>
      <w:r w:rsidR="00F63396" w:rsidRPr="00EC30E8">
        <w:rPr>
          <w:rFonts w:eastAsia="Century Gothic"/>
        </w:rPr>
        <w:t xml:space="preserve"> del Estado de Yucatán</w:t>
      </w:r>
      <w:r w:rsidR="009C4358" w:rsidRPr="00E647DA">
        <w:rPr>
          <w:color w:val="auto"/>
          <w:szCs w:val="24"/>
        </w:rPr>
        <w:t xml:space="preserve">. </w:t>
      </w:r>
    </w:p>
    <w:p w14:paraId="07E469F2" w14:textId="77777777" w:rsidR="009C4358" w:rsidRPr="00E647DA" w:rsidRDefault="009C4358" w:rsidP="00A56916">
      <w:pPr>
        <w:spacing w:after="0" w:line="240" w:lineRule="auto"/>
        <w:ind w:left="0" w:right="62" w:firstLine="708"/>
        <w:rPr>
          <w:b/>
          <w:color w:val="auto"/>
          <w:szCs w:val="24"/>
          <w:lang w:val="es-ES"/>
        </w:rPr>
      </w:pPr>
    </w:p>
    <w:p w14:paraId="60C12E72" w14:textId="77777777" w:rsidR="009C4358" w:rsidRPr="00E647DA" w:rsidRDefault="009C4358" w:rsidP="00AF1A26">
      <w:pPr>
        <w:spacing w:after="0" w:line="360" w:lineRule="auto"/>
        <w:ind w:left="0" w:right="62" w:firstLine="708"/>
        <w:rPr>
          <w:iCs/>
          <w:color w:val="auto"/>
          <w:szCs w:val="24"/>
          <w:lang w:val="es-ES"/>
        </w:rPr>
      </w:pPr>
      <w:r w:rsidRPr="00E647DA">
        <w:rPr>
          <w:iCs/>
          <w:color w:val="auto"/>
          <w:szCs w:val="24"/>
          <w:lang w:val="es-ES"/>
        </w:rPr>
        <w:t xml:space="preserve">En la parte correspondiente a la exposición de motivos, quienes suscriben la iniciativa citada, manifestaron lo siguiente: </w:t>
      </w:r>
    </w:p>
    <w:p w14:paraId="5E7965A8" w14:textId="77777777" w:rsidR="00993178" w:rsidRPr="00F63396" w:rsidRDefault="00993178" w:rsidP="00A56916">
      <w:pPr>
        <w:spacing w:after="0" w:line="240" w:lineRule="auto"/>
        <w:ind w:left="0" w:right="62" w:firstLine="708"/>
        <w:rPr>
          <w:i/>
          <w:color w:val="auto"/>
          <w:sz w:val="22"/>
        </w:rPr>
      </w:pPr>
    </w:p>
    <w:p w14:paraId="34CF4B1A" w14:textId="3BA14378" w:rsidR="0096080A" w:rsidRPr="00F63396" w:rsidRDefault="00993178" w:rsidP="00A56916">
      <w:pPr>
        <w:spacing w:after="0" w:line="240" w:lineRule="auto"/>
        <w:ind w:left="709" w:right="62" w:firstLine="0"/>
        <w:rPr>
          <w:i/>
          <w:color w:val="auto"/>
          <w:sz w:val="22"/>
        </w:rPr>
      </w:pPr>
      <w:r w:rsidRPr="00F63396">
        <w:rPr>
          <w:i/>
          <w:color w:val="auto"/>
          <w:sz w:val="22"/>
        </w:rPr>
        <w:t>“</w:t>
      </w:r>
      <w:r w:rsidR="00D574CA" w:rsidRPr="00F63396">
        <w:rPr>
          <w:i/>
          <w:color w:val="auto"/>
          <w:sz w:val="22"/>
        </w:rPr>
        <w:t>…</w:t>
      </w:r>
    </w:p>
    <w:p w14:paraId="56A27F12" w14:textId="77777777" w:rsidR="00E44198" w:rsidRPr="00F63396" w:rsidRDefault="00E44198" w:rsidP="00F663D1">
      <w:pPr>
        <w:spacing w:after="0" w:line="240" w:lineRule="auto"/>
        <w:ind w:left="709" w:right="62" w:firstLine="0"/>
        <w:rPr>
          <w:i/>
          <w:color w:val="auto"/>
          <w:sz w:val="22"/>
        </w:rPr>
      </w:pPr>
    </w:p>
    <w:p w14:paraId="6D028715" w14:textId="77777777" w:rsidR="00D52919" w:rsidRPr="00F63396" w:rsidRDefault="00D52919" w:rsidP="00F663D1">
      <w:pPr>
        <w:spacing w:after="0" w:line="240" w:lineRule="auto"/>
        <w:ind w:left="709" w:firstLine="709"/>
        <w:rPr>
          <w:i/>
          <w:sz w:val="22"/>
        </w:rPr>
      </w:pPr>
      <w:r w:rsidRPr="00F63396">
        <w:rPr>
          <w:i/>
          <w:sz w:val="22"/>
        </w:rPr>
        <w:t>Situación jurídica del inmueble</w:t>
      </w:r>
    </w:p>
    <w:p w14:paraId="150533AE" w14:textId="77777777" w:rsidR="00D52919" w:rsidRPr="00F63396" w:rsidRDefault="00D52919" w:rsidP="00F663D1">
      <w:pPr>
        <w:spacing w:after="0" w:line="240" w:lineRule="auto"/>
        <w:ind w:left="709" w:firstLine="709"/>
        <w:rPr>
          <w:i/>
          <w:sz w:val="22"/>
        </w:rPr>
      </w:pPr>
    </w:p>
    <w:p w14:paraId="42B50AF4" w14:textId="77777777" w:rsidR="00F63396" w:rsidRDefault="00F63396" w:rsidP="00F663D1">
      <w:pPr>
        <w:spacing w:after="0" w:line="240" w:lineRule="auto"/>
        <w:ind w:left="709" w:right="62" w:firstLine="709"/>
        <w:rPr>
          <w:i/>
          <w:color w:val="auto"/>
          <w:sz w:val="22"/>
        </w:rPr>
      </w:pPr>
      <w:r w:rsidRPr="00F63396">
        <w:rPr>
          <w:i/>
          <w:color w:val="auto"/>
          <w:sz w:val="22"/>
        </w:rPr>
        <w:t xml:space="preserve">El Gobierno del Estado de Yucatán adquirió el inmueble con el número 460 de la calle 64 de la colonia Renacimiento de la localidad y municipio de Mérida, Yucatán, mediante donación otorgada el 1 de noviembre de 2016, suscrita en escritura pública número 1842 pasada ante la fe del Lic. Manuel Emilio García Ferrón, en ese momento titular de la notaría número ochenta y nueve, con sede en el municipio de </w:t>
      </w:r>
      <w:proofErr w:type="spellStart"/>
      <w:r w:rsidRPr="00F63396">
        <w:rPr>
          <w:i/>
          <w:color w:val="auto"/>
          <w:sz w:val="22"/>
        </w:rPr>
        <w:t>Kanasín</w:t>
      </w:r>
      <w:proofErr w:type="spellEnd"/>
      <w:r w:rsidRPr="00F63396">
        <w:rPr>
          <w:i/>
          <w:color w:val="auto"/>
          <w:sz w:val="22"/>
        </w:rPr>
        <w:t>, Yucatán. Dicho instrumento quedó inscrito en el Registro Público de la Propiedad y del Comercio del Instituto de Seguridad Jurídica Patrimonial de Yucatán bajo el número de inscripción 2090933 (dos, cero, nueve, cero, nueve, tres, tres) y con el folio electrónico 1192938 (uno, uno, nueve, dos, nueve, tres, ocho).</w:t>
      </w:r>
    </w:p>
    <w:p w14:paraId="1C06F5C3" w14:textId="77777777" w:rsidR="00F663D1" w:rsidRPr="00F63396" w:rsidRDefault="00F663D1" w:rsidP="00F663D1">
      <w:pPr>
        <w:spacing w:after="0" w:line="240" w:lineRule="auto"/>
        <w:ind w:left="709" w:right="62" w:firstLine="709"/>
        <w:rPr>
          <w:i/>
          <w:color w:val="auto"/>
          <w:sz w:val="22"/>
        </w:rPr>
      </w:pPr>
    </w:p>
    <w:p w14:paraId="36721206" w14:textId="77777777" w:rsidR="00F63396" w:rsidRDefault="00F63396" w:rsidP="00F663D1">
      <w:pPr>
        <w:spacing w:after="0" w:line="240" w:lineRule="auto"/>
        <w:ind w:left="709" w:right="62" w:firstLine="709"/>
        <w:rPr>
          <w:i/>
          <w:color w:val="auto"/>
          <w:sz w:val="22"/>
        </w:rPr>
      </w:pPr>
      <w:r w:rsidRPr="00F63396">
        <w:rPr>
          <w:i/>
          <w:color w:val="auto"/>
          <w:sz w:val="22"/>
        </w:rPr>
        <w:t xml:space="preserve">Posteriormente, con fecha 1 de julio de 2019 se ordenó la Rectificación de Inscripción o anotación de propiedad a través del siguiente oficio: “Con fundamente en el artículo 40 de la Ley que crea el Instituto de Seguridad Jurídica Patrimonial de Yucatán; se realiza la presente anotación, toda vez que mediante oficio MKY/CGSJP/DC/001209/2019 de fecha 17 de junio de 2019 emitido por el Director del Catastro del Municipio de </w:t>
      </w:r>
      <w:proofErr w:type="spellStart"/>
      <w:r w:rsidRPr="00F63396">
        <w:rPr>
          <w:i/>
          <w:color w:val="auto"/>
          <w:sz w:val="22"/>
        </w:rPr>
        <w:t>Kanasín</w:t>
      </w:r>
      <w:proofErr w:type="spellEnd"/>
      <w:r w:rsidRPr="00F63396">
        <w:rPr>
          <w:i/>
          <w:color w:val="auto"/>
          <w:sz w:val="22"/>
        </w:rPr>
        <w:t xml:space="preserve">, con fundamento en los artículos 1, 3, fracción primera y 14 de la Ley para Solución de Conflictos de Límites Territoriales Intermunicipales del Estado de Yucatán, y tomando en cuenta que por Decreto 40/2019, publicado en el Diario Oficial del Gobierno del Estado el día 09 de febrero </w:t>
      </w:r>
      <w:r w:rsidRPr="00F63396">
        <w:rPr>
          <w:i/>
          <w:color w:val="auto"/>
          <w:sz w:val="22"/>
        </w:rPr>
        <w:lastRenderedPageBreak/>
        <w:t xml:space="preserve">del año 2019, el H. Congreso del Estado de Yucatán tuvo a bien aprobar el Convenio para la Solución de los Conflictos de Límites Territoriales Intermunicipales firmado por los municipios de Mérida y </w:t>
      </w:r>
      <w:proofErr w:type="spellStart"/>
      <w:r w:rsidRPr="00F63396">
        <w:rPr>
          <w:i/>
          <w:color w:val="auto"/>
          <w:sz w:val="22"/>
        </w:rPr>
        <w:t>Kanasín</w:t>
      </w:r>
      <w:proofErr w:type="spellEnd"/>
      <w:r w:rsidRPr="00F63396">
        <w:rPr>
          <w:i/>
          <w:color w:val="auto"/>
          <w:sz w:val="22"/>
        </w:rPr>
        <w:t xml:space="preserve">, Yucatán; firmado el 18 de agosto de 2017, en el que se reconocen de común acuerdo los límites de sus municipios, por lo que el predio a que este folio electrónico se refiere, dejó de ser parte de los límites del municipio de </w:t>
      </w:r>
      <w:proofErr w:type="spellStart"/>
      <w:r w:rsidRPr="00F63396">
        <w:rPr>
          <w:i/>
          <w:color w:val="auto"/>
          <w:sz w:val="22"/>
        </w:rPr>
        <w:t>Kanasín</w:t>
      </w:r>
      <w:proofErr w:type="spellEnd"/>
      <w:r w:rsidRPr="00F63396">
        <w:rPr>
          <w:i/>
          <w:color w:val="auto"/>
          <w:sz w:val="22"/>
        </w:rPr>
        <w:t xml:space="preserve"> para formar parte del municipio de Mérida, Yucatán”.</w:t>
      </w:r>
    </w:p>
    <w:p w14:paraId="520F000C" w14:textId="77777777" w:rsidR="00F663D1" w:rsidRPr="00F63396" w:rsidRDefault="00F663D1" w:rsidP="00F663D1">
      <w:pPr>
        <w:spacing w:after="0" w:line="240" w:lineRule="auto"/>
        <w:ind w:left="709" w:right="62" w:firstLine="709"/>
        <w:rPr>
          <w:i/>
          <w:color w:val="auto"/>
          <w:sz w:val="22"/>
        </w:rPr>
      </w:pPr>
    </w:p>
    <w:p w14:paraId="512A52C9" w14:textId="77777777" w:rsidR="00F63396" w:rsidRDefault="00F63396" w:rsidP="00F663D1">
      <w:pPr>
        <w:spacing w:after="0" w:line="240" w:lineRule="auto"/>
        <w:ind w:left="709" w:right="62" w:firstLine="709"/>
        <w:rPr>
          <w:i/>
          <w:color w:val="auto"/>
          <w:sz w:val="22"/>
        </w:rPr>
      </w:pPr>
      <w:r w:rsidRPr="00F63396">
        <w:rPr>
          <w:i/>
          <w:color w:val="auto"/>
          <w:sz w:val="22"/>
        </w:rPr>
        <w:t>Con fecha 10 de abril de 2024, el Gobierno del Estado de Yucatán, por conducto de la Secretaría de Administración y Finanzas, y la Auditoría Superior del Estado, celebraron los Acuerdos de Afectación de Uso No. SAF/BI.039/2024 y SAF/BI.040/2024, respecto de dos fracciones del predio mencionado en el párrafo anterior, para destinarlos al uso de oficinas, caseta y espacio de estacionamiento, respectivamente.</w:t>
      </w:r>
    </w:p>
    <w:p w14:paraId="2481ADC5" w14:textId="77777777" w:rsidR="00F663D1" w:rsidRPr="00F63396" w:rsidRDefault="00F663D1" w:rsidP="00F663D1">
      <w:pPr>
        <w:spacing w:after="0" w:line="240" w:lineRule="auto"/>
        <w:ind w:left="709" w:right="62" w:firstLine="709"/>
        <w:rPr>
          <w:i/>
          <w:color w:val="auto"/>
          <w:sz w:val="22"/>
        </w:rPr>
      </w:pPr>
    </w:p>
    <w:p w14:paraId="5FB6C45B" w14:textId="77777777" w:rsidR="00F63396" w:rsidRDefault="00F63396" w:rsidP="00F663D1">
      <w:pPr>
        <w:spacing w:after="0" w:line="240" w:lineRule="auto"/>
        <w:ind w:left="709" w:right="62" w:firstLine="709"/>
        <w:rPr>
          <w:i/>
          <w:color w:val="auto"/>
          <w:sz w:val="22"/>
        </w:rPr>
      </w:pPr>
      <w:r w:rsidRPr="00F63396">
        <w:rPr>
          <w:i/>
          <w:color w:val="auto"/>
          <w:sz w:val="22"/>
        </w:rPr>
        <w:t xml:space="preserve">A través del oficio DAS/01/1704/2024 de fecha 17 de abril de 2024, el Auditor Superior del Estado, el Lic. Rubén de Jesús Arjona Ortiz, solicitó al Gobernador Constitucional del Estado de Yucatán, Lic. Mauricio Vila </w:t>
      </w:r>
      <w:proofErr w:type="spellStart"/>
      <w:r w:rsidRPr="00F63396">
        <w:rPr>
          <w:i/>
          <w:color w:val="auto"/>
          <w:sz w:val="22"/>
        </w:rPr>
        <w:t>Dosal</w:t>
      </w:r>
      <w:proofErr w:type="spellEnd"/>
      <w:r w:rsidRPr="00F63396">
        <w:rPr>
          <w:i/>
          <w:color w:val="auto"/>
          <w:sz w:val="22"/>
        </w:rPr>
        <w:t>, la donación de la superficie de 9,039.08 m2 , con un área de construcción de 3.023.03 m2, la cual se encuentra dentro del inmueble ubicado en la calle 64 número 460 de la colonia Renacimiento de Mérida, Yucatán, inmueble que será destinado para la sede de las oficinas de la Auditoria Superior del estado de Yucatán.</w:t>
      </w:r>
    </w:p>
    <w:p w14:paraId="1DF41724" w14:textId="77777777" w:rsidR="00F663D1" w:rsidRPr="00F63396" w:rsidRDefault="00F663D1" w:rsidP="00F663D1">
      <w:pPr>
        <w:spacing w:after="0" w:line="240" w:lineRule="auto"/>
        <w:ind w:left="709" w:right="62" w:firstLine="709"/>
        <w:rPr>
          <w:i/>
          <w:color w:val="auto"/>
          <w:sz w:val="22"/>
        </w:rPr>
      </w:pPr>
    </w:p>
    <w:p w14:paraId="0197C103" w14:textId="77777777" w:rsidR="00F63396" w:rsidRDefault="00F63396" w:rsidP="00F663D1">
      <w:pPr>
        <w:spacing w:after="0" w:line="240" w:lineRule="auto"/>
        <w:ind w:left="709" w:right="62" w:firstLine="709"/>
        <w:rPr>
          <w:i/>
          <w:color w:val="auto"/>
          <w:sz w:val="22"/>
        </w:rPr>
      </w:pPr>
      <w:r w:rsidRPr="00F63396">
        <w:rPr>
          <w:i/>
          <w:color w:val="auto"/>
          <w:sz w:val="22"/>
        </w:rPr>
        <w:t xml:space="preserve">Derivado de la solicitud mencionada en el párrafo anterior, mediante escritura pública número 737, de fecha 27 de junio de 2024, otorgada ante el abogado Hugo </w:t>
      </w:r>
      <w:proofErr w:type="spellStart"/>
      <w:r w:rsidRPr="00F63396">
        <w:rPr>
          <w:i/>
          <w:color w:val="auto"/>
          <w:sz w:val="22"/>
        </w:rPr>
        <w:t>Wilbert</w:t>
      </w:r>
      <w:proofErr w:type="spellEnd"/>
      <w:r w:rsidRPr="00F63396">
        <w:rPr>
          <w:i/>
          <w:color w:val="auto"/>
          <w:sz w:val="22"/>
        </w:rPr>
        <w:t xml:space="preserve"> </w:t>
      </w:r>
      <w:proofErr w:type="spellStart"/>
      <w:r w:rsidRPr="00F63396">
        <w:rPr>
          <w:i/>
          <w:color w:val="auto"/>
          <w:sz w:val="22"/>
        </w:rPr>
        <w:t>Evia</w:t>
      </w:r>
      <w:proofErr w:type="spellEnd"/>
      <w:r w:rsidRPr="00F63396">
        <w:rPr>
          <w:i/>
          <w:color w:val="auto"/>
          <w:sz w:val="22"/>
        </w:rPr>
        <w:t xml:space="preserve"> </w:t>
      </w:r>
      <w:proofErr w:type="spellStart"/>
      <w:r w:rsidRPr="00F63396">
        <w:rPr>
          <w:i/>
          <w:color w:val="auto"/>
          <w:sz w:val="22"/>
        </w:rPr>
        <w:t>Bolio</w:t>
      </w:r>
      <w:proofErr w:type="spellEnd"/>
      <w:r w:rsidRPr="00F63396">
        <w:rPr>
          <w:i/>
          <w:color w:val="auto"/>
          <w:sz w:val="22"/>
        </w:rPr>
        <w:t xml:space="preserve">, titular de la notaría pública número 69 del municipio de Mérida, el predio en cuestión sufrió dos modificaciones significativas: en primer lugar, se llevó a cabo un cambio de nomenclatura, transformando el número 460 de la calle 64 de la colonia Renacimiento de la localidad y municipio de Mérida, Yucatán, en el nuevo número 467 de la calle 62 de la colonia Mil Piedras; y, en segundo lugar, la división en dos fracciones del predio número 467 de la calle 62 de la colonia Mil Piedras, en la localidad y municipio de Mérida; siendo objeto de esta iniciativa la fracción uno del predio número 467 de la calle 62 de la colonia Mil Piedras, el cual quedó identificado así posteriormente a la división, que se localiza en la localidad y municipio de Mérida, con una superficie de 9,039.08 m², la cual estará destinada a la donación. </w:t>
      </w:r>
    </w:p>
    <w:p w14:paraId="382878E0" w14:textId="77777777" w:rsidR="00F663D1" w:rsidRPr="00F63396" w:rsidRDefault="00F663D1" w:rsidP="00F663D1">
      <w:pPr>
        <w:spacing w:after="0" w:line="240" w:lineRule="auto"/>
        <w:ind w:left="709" w:right="62" w:firstLine="709"/>
        <w:rPr>
          <w:i/>
          <w:color w:val="auto"/>
          <w:sz w:val="22"/>
        </w:rPr>
      </w:pPr>
    </w:p>
    <w:p w14:paraId="35D43D6C" w14:textId="77777777" w:rsidR="00F63396" w:rsidRDefault="00F63396" w:rsidP="00F663D1">
      <w:pPr>
        <w:spacing w:after="0" w:line="240" w:lineRule="auto"/>
        <w:ind w:left="709" w:right="62" w:firstLine="709"/>
        <w:rPr>
          <w:i/>
          <w:color w:val="auto"/>
          <w:sz w:val="22"/>
        </w:rPr>
      </w:pPr>
      <w:r w:rsidRPr="00F63396">
        <w:rPr>
          <w:i/>
          <w:color w:val="auto"/>
          <w:sz w:val="22"/>
        </w:rPr>
        <w:t>Mediante Acuerdo SAF 97/2024, el citado inmueble fue desincorporado del dominio público, por lo que ahora es parte del patrimonio del Estado en el régimen de dominio privado. De acuerdo con el artículo 32, fracción V, de la Ley de Bienes del Estado de Yucatán, los bienes de dominio privado son susceptibles de donarse a otros entes públicos, por lo que resulta procedente solicitar la autorización del Congreso del Estado para donarlo en favor de la Auditoría Superior del Estado, a efecto de que se facilite a los entes fiscalizados y la ciudadanía, en general, que visitan las instalaciones del organismo, realizar sus gestiones en un entorno apropiado, lo que redundará en una mejora en la calidad de la atención proporcionada.</w:t>
      </w:r>
    </w:p>
    <w:p w14:paraId="03B1F714" w14:textId="77777777" w:rsidR="00F663D1" w:rsidRPr="00F63396" w:rsidRDefault="00F663D1" w:rsidP="00F663D1">
      <w:pPr>
        <w:spacing w:after="0" w:line="240" w:lineRule="auto"/>
        <w:ind w:left="709" w:right="62" w:firstLine="709"/>
        <w:rPr>
          <w:i/>
          <w:color w:val="auto"/>
          <w:sz w:val="22"/>
        </w:rPr>
      </w:pPr>
    </w:p>
    <w:p w14:paraId="28F63F42" w14:textId="2A452DF5" w:rsidR="00D52919" w:rsidRDefault="00F63396" w:rsidP="00F663D1">
      <w:pPr>
        <w:spacing w:after="0" w:line="240" w:lineRule="auto"/>
        <w:ind w:left="709" w:right="62" w:firstLine="709"/>
        <w:rPr>
          <w:i/>
          <w:color w:val="auto"/>
          <w:sz w:val="22"/>
        </w:rPr>
      </w:pPr>
      <w:r w:rsidRPr="00F63396">
        <w:rPr>
          <w:i/>
          <w:color w:val="auto"/>
          <w:sz w:val="22"/>
        </w:rPr>
        <w:t>De autorizarse esta donación, el estado de Yucatán contribuirá a garantizar el desempeño de las funciones de la Auditoría Superior del Estado, por lo que respecta a su rol como entidad fiscalizadora, una facultad establecida en la Constitución Política de los Estados Unidos Mexicanos y en la Constitución local.</w:t>
      </w:r>
    </w:p>
    <w:p w14:paraId="54D6584C" w14:textId="77777777" w:rsidR="00F663D1" w:rsidRPr="00F63396" w:rsidRDefault="00F663D1" w:rsidP="00F663D1">
      <w:pPr>
        <w:spacing w:after="0" w:line="240" w:lineRule="auto"/>
        <w:ind w:left="709" w:right="62" w:firstLine="709"/>
        <w:rPr>
          <w:i/>
          <w:color w:val="auto"/>
          <w:sz w:val="22"/>
        </w:rPr>
      </w:pPr>
    </w:p>
    <w:p w14:paraId="5A81AAA7" w14:textId="49C9C5A6" w:rsidR="001050A9" w:rsidRPr="00F63396" w:rsidRDefault="0096080A" w:rsidP="00F663D1">
      <w:pPr>
        <w:spacing w:after="0" w:line="240" w:lineRule="auto"/>
        <w:ind w:left="709" w:firstLine="709"/>
        <w:rPr>
          <w:i/>
          <w:color w:val="auto"/>
          <w:sz w:val="22"/>
        </w:rPr>
      </w:pPr>
      <w:r w:rsidRPr="00F63396">
        <w:rPr>
          <w:i/>
          <w:color w:val="auto"/>
          <w:sz w:val="22"/>
        </w:rPr>
        <w:t>.</w:t>
      </w:r>
      <w:r w:rsidR="00993178" w:rsidRPr="00F63396">
        <w:rPr>
          <w:i/>
          <w:color w:val="auto"/>
          <w:sz w:val="22"/>
        </w:rPr>
        <w:t>.</w:t>
      </w:r>
      <w:r w:rsidR="00925F3A" w:rsidRPr="00F63396">
        <w:rPr>
          <w:i/>
          <w:color w:val="auto"/>
          <w:sz w:val="22"/>
        </w:rPr>
        <w:t>.</w:t>
      </w:r>
      <w:r w:rsidRPr="00F63396">
        <w:rPr>
          <w:i/>
          <w:color w:val="auto"/>
          <w:sz w:val="22"/>
        </w:rPr>
        <w:t>”</w:t>
      </w:r>
    </w:p>
    <w:p w14:paraId="273D859C" w14:textId="77777777" w:rsidR="00925F3A" w:rsidRPr="00E647DA" w:rsidRDefault="00925F3A" w:rsidP="00F663D1">
      <w:pPr>
        <w:spacing w:after="0" w:line="360" w:lineRule="auto"/>
        <w:ind w:left="567" w:right="488" w:firstLine="709"/>
        <w:rPr>
          <w:color w:val="auto"/>
          <w:sz w:val="16"/>
          <w:szCs w:val="16"/>
        </w:rPr>
      </w:pPr>
    </w:p>
    <w:p w14:paraId="5F452DC0" w14:textId="77777777" w:rsidR="00647B63" w:rsidRDefault="00225406" w:rsidP="00647B63">
      <w:pPr>
        <w:spacing w:after="0" w:line="360" w:lineRule="auto"/>
        <w:ind w:left="0" w:right="62" w:firstLine="0"/>
        <w:rPr>
          <w:color w:val="auto"/>
          <w:szCs w:val="24"/>
          <w:lang w:val="es-ES"/>
        </w:rPr>
      </w:pPr>
      <w:r w:rsidRPr="00E647DA">
        <w:rPr>
          <w:b/>
          <w:color w:val="auto"/>
          <w:szCs w:val="24"/>
        </w:rPr>
        <w:t>SEGUND</w:t>
      </w:r>
      <w:r w:rsidR="004B5583" w:rsidRPr="00E647DA">
        <w:rPr>
          <w:b/>
          <w:color w:val="auto"/>
          <w:szCs w:val="24"/>
        </w:rPr>
        <w:t xml:space="preserve">O. </w:t>
      </w:r>
      <w:r w:rsidR="006209B4" w:rsidRPr="00E647DA">
        <w:rPr>
          <w:color w:val="auto"/>
          <w:szCs w:val="24"/>
          <w:lang w:val="es-ES"/>
        </w:rPr>
        <w:t>En lo que respecta a</w:t>
      </w:r>
      <w:r w:rsidR="00F45CCB" w:rsidRPr="00E647DA">
        <w:rPr>
          <w:color w:val="auto"/>
          <w:szCs w:val="24"/>
          <w:lang w:val="es-ES"/>
        </w:rPr>
        <w:t>l</w:t>
      </w:r>
      <w:r w:rsidR="006209B4" w:rsidRPr="00E647DA">
        <w:rPr>
          <w:color w:val="auto"/>
          <w:szCs w:val="24"/>
          <w:lang w:val="es-ES"/>
        </w:rPr>
        <w:t xml:space="preserve"> bien inmueble</w:t>
      </w:r>
      <w:r w:rsidR="00F45CCB" w:rsidRPr="00E647DA">
        <w:rPr>
          <w:color w:val="auto"/>
          <w:szCs w:val="24"/>
          <w:lang w:val="es-ES"/>
        </w:rPr>
        <w:t xml:space="preserve">, objeto de la autorización para la celebración del contrato de traslación de dominio señalado en la iniciativa, los datos de identificación son los siguientes: </w:t>
      </w:r>
    </w:p>
    <w:p w14:paraId="4CA987CC" w14:textId="77777777" w:rsidR="00B06A6F" w:rsidRDefault="00B06A6F" w:rsidP="00A56916">
      <w:pPr>
        <w:spacing w:after="0" w:line="240" w:lineRule="auto"/>
        <w:ind w:left="0" w:right="62" w:firstLine="0"/>
        <w:rPr>
          <w:color w:val="auto"/>
          <w:szCs w:val="24"/>
          <w:lang w:val="es-ES"/>
        </w:rPr>
      </w:pPr>
    </w:p>
    <w:p w14:paraId="7FE75016" w14:textId="342621F3" w:rsidR="00F663D1" w:rsidRPr="00A56916" w:rsidRDefault="00F663D1" w:rsidP="00F663D1">
      <w:pPr>
        <w:spacing w:after="0" w:line="240" w:lineRule="auto"/>
        <w:ind w:left="0" w:right="62" w:firstLine="0"/>
        <w:rPr>
          <w:i/>
          <w:color w:val="auto"/>
          <w:szCs w:val="24"/>
          <w:lang w:val="es-ES"/>
        </w:rPr>
      </w:pPr>
      <w:r w:rsidRPr="00A56916">
        <w:rPr>
          <w:i/>
          <w:color w:val="auto"/>
          <w:szCs w:val="24"/>
          <w:lang w:val="es-ES"/>
        </w:rPr>
        <w:t>“Predio marcado con el número CUATROCIENTOS SESENTA Y SIETE de la calle SESENTA Y DOS de la colonia Mil Piedras, de la localidad y municipio de Mérida, Yucatán, ubicado en la sección catastral veintiuno, manzana cero doscientos cincuenta y cuatro, con una superficie de 9,039.08 m2 (nueve mil treinta y nueve punto cero ocho metro cuadrados); de figura irregular, el cual cuenta con las medidas y colindancias siguientes: Partiendo del vértice del ángulo noroeste con dirección al sureste, mide ciento veintiuno punto veintidós metros; de este punto con dirección al suroeste mide ochenta y cuatro punto cero cinco metros; de este punto con dirección al noroeste, mide veinticuatro punto cuarenta y un metros; de este punto con dirección al oeste, inclinación Sur, mide doce punto ochenta metros; de este punto con dirección al noroeste, mide quince punto ochenta y dos metros; de este punto con dirección al Oeste, inclinación Sur, mide dieciocho punto diecinueve metros; de este punto con dirección al noroeste, mide diez punto setenta y cinco metros; de este punto con dirección al noreste, mide dieciocho punto dieciocho metros; de este punto con dirección al noroeste, mide veinte punto treinta metros; de este punto con dirección al noreste, mide uno punto sesenta y tres metros; de este punto con dirección al noroeste, mide veintiocho punto cero cinco metros; de este punto con dirección al noreste, hasta llegar al punto de partida y cerrar el perímetro que se describe, mide cincuenta y tres punto setenta y siete metros; y colinda: Al noreste con la calle sesenta y nueve; al sureste, con la calle sesenta y dos; al noroeste, con la calle sesenta y cuatro, y al suroeste con el predio número cuatrocientos sesenta y nueve de la calle sesenta y dos de la colonia Mil Piedras.” Inscrito en el Registro Público de la Propiedad y del Comercio del Instituto de Seguridad Jurídica Patrimonial de Yucatán, el 4 de julio de 2024, bajo el número de inscripción 3517036 y el folio electrónico 1192938.</w:t>
      </w:r>
    </w:p>
    <w:p w14:paraId="2C9B3927" w14:textId="77777777" w:rsidR="006711BA" w:rsidRPr="00E647DA" w:rsidRDefault="006711BA" w:rsidP="00AF1A26">
      <w:pPr>
        <w:spacing w:after="0" w:line="360" w:lineRule="auto"/>
        <w:ind w:left="0" w:right="62" w:firstLine="0"/>
        <w:rPr>
          <w:color w:val="auto"/>
          <w:szCs w:val="24"/>
          <w:lang w:val="es-ES"/>
        </w:rPr>
      </w:pPr>
    </w:p>
    <w:p w14:paraId="6F15394D" w14:textId="49F792B6" w:rsidR="00E73502" w:rsidRPr="00E647DA" w:rsidRDefault="00225406" w:rsidP="00AF1A26">
      <w:pPr>
        <w:autoSpaceDN w:val="0"/>
        <w:adjustRightInd w:val="0"/>
        <w:spacing w:after="0" w:line="360" w:lineRule="auto"/>
        <w:ind w:left="11" w:right="62" w:firstLine="0"/>
        <w:rPr>
          <w:color w:val="auto"/>
          <w:szCs w:val="24"/>
          <w:lang w:val="es-ES"/>
        </w:rPr>
      </w:pPr>
      <w:r w:rsidRPr="00E647DA">
        <w:rPr>
          <w:b/>
          <w:color w:val="auto"/>
          <w:szCs w:val="24"/>
          <w:lang w:val="es-ES"/>
        </w:rPr>
        <w:t>TERCERO.</w:t>
      </w:r>
      <w:r w:rsidR="00925F3A" w:rsidRPr="00E647DA">
        <w:rPr>
          <w:b/>
          <w:color w:val="auto"/>
          <w:szCs w:val="24"/>
          <w:lang w:val="es-ES"/>
        </w:rPr>
        <w:t xml:space="preserve"> </w:t>
      </w:r>
      <w:r w:rsidR="00E73502" w:rsidRPr="00E647DA">
        <w:rPr>
          <w:color w:val="auto"/>
          <w:szCs w:val="24"/>
          <w:lang w:val="es-ES"/>
        </w:rPr>
        <w:t xml:space="preserve">Como se </w:t>
      </w:r>
      <w:r w:rsidR="00C529B6">
        <w:rPr>
          <w:color w:val="auto"/>
          <w:szCs w:val="24"/>
          <w:lang w:val="es-ES"/>
        </w:rPr>
        <w:t>ha</w:t>
      </w:r>
      <w:r w:rsidR="00F663D1">
        <w:rPr>
          <w:color w:val="auto"/>
          <w:szCs w:val="24"/>
          <w:lang w:val="es-ES"/>
        </w:rPr>
        <w:t xml:space="preserve"> mencionado anteriormente, el </w:t>
      </w:r>
      <w:r w:rsidR="00F663D1" w:rsidRPr="00F663D1">
        <w:rPr>
          <w:color w:val="auto"/>
          <w:szCs w:val="24"/>
          <w:lang w:val="es-ES"/>
        </w:rPr>
        <w:t>16</w:t>
      </w:r>
      <w:r w:rsidR="00B06A6F" w:rsidRPr="00F663D1">
        <w:rPr>
          <w:color w:val="auto"/>
          <w:szCs w:val="24"/>
          <w:lang w:val="es-ES"/>
        </w:rPr>
        <w:t xml:space="preserve"> </w:t>
      </w:r>
      <w:r w:rsidR="00E73502" w:rsidRPr="00F663D1">
        <w:rPr>
          <w:color w:val="auto"/>
          <w:szCs w:val="24"/>
          <w:lang w:val="es-ES"/>
        </w:rPr>
        <w:t xml:space="preserve">de </w:t>
      </w:r>
      <w:r w:rsidR="00B06A6F" w:rsidRPr="00F663D1">
        <w:rPr>
          <w:color w:val="auto"/>
          <w:szCs w:val="24"/>
          <w:lang w:val="es-ES"/>
        </w:rPr>
        <w:t>agosto</w:t>
      </w:r>
      <w:r w:rsidR="00B06A6F" w:rsidRPr="00E647DA">
        <w:rPr>
          <w:color w:val="auto"/>
          <w:szCs w:val="24"/>
          <w:lang w:val="es-ES"/>
        </w:rPr>
        <w:t xml:space="preserve"> </w:t>
      </w:r>
      <w:r w:rsidR="00E73502" w:rsidRPr="00E647DA">
        <w:rPr>
          <w:color w:val="auto"/>
          <w:szCs w:val="24"/>
          <w:lang w:val="es-ES"/>
        </w:rPr>
        <w:t xml:space="preserve">del año en curso, se turnó en </w:t>
      </w:r>
      <w:r w:rsidR="00634396">
        <w:rPr>
          <w:color w:val="auto"/>
          <w:szCs w:val="24"/>
          <w:lang w:val="es-ES"/>
        </w:rPr>
        <w:t>Diputación P</w:t>
      </w:r>
      <w:r w:rsidR="001315A1" w:rsidRPr="00E647DA">
        <w:rPr>
          <w:color w:val="auto"/>
          <w:szCs w:val="24"/>
          <w:lang w:val="es-ES"/>
        </w:rPr>
        <w:t xml:space="preserve">ermanente </w:t>
      </w:r>
      <w:r w:rsidR="00E73502" w:rsidRPr="00E647DA">
        <w:rPr>
          <w:color w:val="auto"/>
          <w:szCs w:val="24"/>
          <w:lang w:val="es-ES"/>
        </w:rPr>
        <w:t xml:space="preserve">la referida iniciativa con proyecto de Decreto a esta Comisión Permanente de Presupuesto, Patrimonio Estatal y Municipal, para su estudio, análisis y dictamen respectivo; posteriormente, en sesión de trabajo de </w:t>
      </w:r>
      <w:r w:rsidR="00E73502" w:rsidRPr="00F663D1">
        <w:rPr>
          <w:color w:val="auto"/>
          <w:szCs w:val="24"/>
          <w:lang w:val="es-ES"/>
        </w:rPr>
        <w:t xml:space="preserve">fecha </w:t>
      </w:r>
      <w:r w:rsidR="00F663D1" w:rsidRPr="00F663D1">
        <w:rPr>
          <w:color w:val="auto"/>
          <w:szCs w:val="24"/>
          <w:lang w:val="es-ES"/>
        </w:rPr>
        <w:t>19</w:t>
      </w:r>
      <w:r w:rsidR="001315A1" w:rsidRPr="00F663D1">
        <w:rPr>
          <w:color w:val="auto"/>
          <w:szCs w:val="24"/>
          <w:lang w:val="es-ES"/>
        </w:rPr>
        <w:t xml:space="preserve"> </w:t>
      </w:r>
      <w:r w:rsidR="00E73502" w:rsidRPr="00F663D1">
        <w:rPr>
          <w:color w:val="auto"/>
          <w:szCs w:val="24"/>
          <w:lang w:val="es-ES"/>
        </w:rPr>
        <w:t xml:space="preserve">de </w:t>
      </w:r>
      <w:r w:rsidR="001315A1" w:rsidRPr="00F663D1">
        <w:rPr>
          <w:color w:val="auto"/>
          <w:szCs w:val="24"/>
          <w:lang w:val="es-ES"/>
        </w:rPr>
        <w:t>agosto</w:t>
      </w:r>
      <w:r w:rsidR="001315A1" w:rsidRPr="00E647DA">
        <w:rPr>
          <w:color w:val="auto"/>
          <w:szCs w:val="24"/>
          <w:lang w:val="es-ES"/>
        </w:rPr>
        <w:t xml:space="preserve"> </w:t>
      </w:r>
      <w:r w:rsidR="00E73502" w:rsidRPr="00E647DA">
        <w:rPr>
          <w:color w:val="auto"/>
          <w:szCs w:val="24"/>
          <w:lang w:val="es-ES"/>
        </w:rPr>
        <w:t xml:space="preserve">de este mismo año fue distribuida la iniciativa en comento a las </w:t>
      </w:r>
      <w:r w:rsidR="00671507" w:rsidRPr="00E647DA">
        <w:rPr>
          <w:color w:val="auto"/>
          <w:szCs w:val="24"/>
          <w:lang w:val="es-ES"/>
        </w:rPr>
        <w:t>y los diputados integrantes de e</w:t>
      </w:r>
      <w:r w:rsidR="001315A1" w:rsidRPr="00E647DA">
        <w:rPr>
          <w:color w:val="auto"/>
          <w:szCs w:val="24"/>
          <w:lang w:val="es-ES"/>
        </w:rPr>
        <w:t>sta c</w:t>
      </w:r>
      <w:r w:rsidR="00E73502" w:rsidRPr="00E647DA">
        <w:rPr>
          <w:color w:val="auto"/>
          <w:szCs w:val="24"/>
          <w:lang w:val="es-ES"/>
        </w:rPr>
        <w:t xml:space="preserve">omisión </w:t>
      </w:r>
      <w:r w:rsidR="00634396">
        <w:rPr>
          <w:color w:val="auto"/>
          <w:szCs w:val="24"/>
          <w:lang w:val="es-ES"/>
        </w:rPr>
        <w:t>dictaminadora.</w:t>
      </w:r>
    </w:p>
    <w:p w14:paraId="1C4422C8" w14:textId="77777777" w:rsidR="00E73502" w:rsidRPr="00E647DA" w:rsidRDefault="00E73502" w:rsidP="00AF1A26">
      <w:pPr>
        <w:autoSpaceDN w:val="0"/>
        <w:adjustRightInd w:val="0"/>
        <w:spacing w:after="0" w:line="360" w:lineRule="auto"/>
        <w:ind w:left="11" w:right="62" w:firstLine="709"/>
        <w:rPr>
          <w:b/>
          <w:color w:val="auto"/>
          <w:szCs w:val="24"/>
          <w:lang w:val="es-ES"/>
        </w:rPr>
      </w:pPr>
    </w:p>
    <w:p w14:paraId="7CF70408" w14:textId="3B3A312B" w:rsidR="00E73502" w:rsidRPr="00E647DA" w:rsidRDefault="00634396" w:rsidP="00AF1A26">
      <w:pPr>
        <w:autoSpaceDN w:val="0"/>
        <w:adjustRightInd w:val="0"/>
        <w:spacing w:after="0" w:line="360" w:lineRule="auto"/>
        <w:ind w:left="11" w:right="62" w:firstLine="709"/>
        <w:rPr>
          <w:color w:val="auto"/>
          <w:szCs w:val="24"/>
          <w:lang w:val="es-ES"/>
        </w:rPr>
      </w:pPr>
      <w:r>
        <w:rPr>
          <w:color w:val="auto"/>
          <w:szCs w:val="24"/>
          <w:lang w:val="es-ES"/>
        </w:rPr>
        <w:t>Con base en los antecedentes</w:t>
      </w:r>
      <w:r w:rsidR="00E73502" w:rsidRPr="00E647DA">
        <w:rPr>
          <w:color w:val="auto"/>
          <w:szCs w:val="24"/>
          <w:lang w:val="es-ES"/>
        </w:rPr>
        <w:t xml:space="preserve"> mencionados, quienes integramos esta </w:t>
      </w:r>
      <w:r>
        <w:rPr>
          <w:color w:val="auto"/>
          <w:szCs w:val="24"/>
          <w:lang w:val="es-ES"/>
        </w:rPr>
        <w:t>C</w:t>
      </w:r>
      <w:r w:rsidR="00E73502" w:rsidRPr="00E647DA">
        <w:rPr>
          <w:color w:val="auto"/>
          <w:szCs w:val="24"/>
          <w:lang w:val="es-ES"/>
        </w:rPr>
        <w:t xml:space="preserve">omisión </w:t>
      </w:r>
      <w:r>
        <w:rPr>
          <w:color w:val="auto"/>
          <w:szCs w:val="24"/>
          <w:lang w:val="es-ES"/>
        </w:rPr>
        <w:t>P</w:t>
      </w:r>
      <w:r w:rsidR="00E73502" w:rsidRPr="00E647DA">
        <w:rPr>
          <w:color w:val="auto"/>
          <w:szCs w:val="24"/>
          <w:lang w:val="es-ES"/>
        </w:rPr>
        <w:t>ermanente realizamos las siguientes,</w:t>
      </w:r>
    </w:p>
    <w:p w14:paraId="1C03BFDE" w14:textId="77777777" w:rsidR="00483C25" w:rsidRDefault="00483C25" w:rsidP="00AF1A26">
      <w:pPr>
        <w:spacing w:after="0" w:line="360" w:lineRule="auto"/>
        <w:ind w:left="10" w:right="62"/>
        <w:jc w:val="center"/>
        <w:rPr>
          <w:b/>
          <w:color w:val="auto"/>
          <w:szCs w:val="24"/>
          <w:lang w:val="pt-BR"/>
        </w:rPr>
      </w:pPr>
    </w:p>
    <w:p w14:paraId="0AB970EB" w14:textId="61CBB408" w:rsidR="0028596B" w:rsidRPr="00E647DA" w:rsidRDefault="004D055E" w:rsidP="00AF1A26">
      <w:pPr>
        <w:spacing w:after="0" w:line="360" w:lineRule="auto"/>
        <w:ind w:left="10" w:right="62"/>
        <w:jc w:val="center"/>
        <w:rPr>
          <w:b/>
          <w:color w:val="auto"/>
          <w:szCs w:val="24"/>
          <w:lang w:val="pt-BR"/>
        </w:rPr>
      </w:pPr>
      <w:r w:rsidRPr="00E647DA">
        <w:rPr>
          <w:b/>
          <w:color w:val="auto"/>
          <w:szCs w:val="24"/>
          <w:lang w:val="pt-BR"/>
        </w:rPr>
        <w:t>C O N S I D E R A C I O N E S</w:t>
      </w:r>
    </w:p>
    <w:p w14:paraId="072DA018" w14:textId="77777777" w:rsidR="00F14A16" w:rsidRPr="00E647DA" w:rsidRDefault="00F14A16" w:rsidP="00AF1A26">
      <w:pPr>
        <w:spacing w:after="0" w:line="360" w:lineRule="auto"/>
        <w:ind w:left="10" w:right="62"/>
        <w:jc w:val="center"/>
        <w:rPr>
          <w:b/>
          <w:color w:val="auto"/>
          <w:szCs w:val="24"/>
          <w:lang w:val="pt-BR"/>
        </w:rPr>
      </w:pPr>
    </w:p>
    <w:p w14:paraId="3AA70A01" w14:textId="45FFC0F4" w:rsidR="005C2B89" w:rsidRPr="00E647DA" w:rsidRDefault="0028596B" w:rsidP="00AF1A26">
      <w:pPr>
        <w:spacing w:after="0" w:line="360" w:lineRule="auto"/>
        <w:ind w:left="11" w:right="62" w:firstLine="0"/>
        <w:rPr>
          <w:iCs/>
          <w:color w:val="auto"/>
          <w:szCs w:val="24"/>
          <w:lang w:val="es-ES"/>
        </w:rPr>
      </w:pPr>
      <w:r w:rsidRPr="00E647DA">
        <w:rPr>
          <w:b/>
          <w:color w:val="auto"/>
          <w:szCs w:val="24"/>
        </w:rPr>
        <w:t xml:space="preserve">PRIMERA. </w:t>
      </w:r>
      <w:r w:rsidR="005C2B89" w:rsidRPr="00E647DA">
        <w:rPr>
          <w:bCs/>
          <w:iCs/>
          <w:color w:val="auto"/>
          <w:szCs w:val="24"/>
          <w:lang w:val="es-ES"/>
        </w:rPr>
        <w:t xml:space="preserve">La iniciativa en estudio, encuentra sustento normativo </w:t>
      </w:r>
      <w:r w:rsidR="005C2B89" w:rsidRPr="00E647DA">
        <w:rPr>
          <w:iCs/>
          <w:color w:val="auto"/>
          <w:szCs w:val="24"/>
          <w:lang w:val="es-ES"/>
        </w:rPr>
        <w:t xml:space="preserve">en lo dispuesto en </w:t>
      </w:r>
      <w:r w:rsidR="00B32D72" w:rsidRPr="00E834CF">
        <w:rPr>
          <w:iCs/>
          <w:color w:val="auto"/>
          <w:szCs w:val="24"/>
          <w:lang w:val="es-ES"/>
        </w:rPr>
        <w:t xml:space="preserve">el artículo 35, fracción II, </w:t>
      </w:r>
      <w:r w:rsidR="00B32D72" w:rsidRPr="00E834CF">
        <w:rPr>
          <w:color w:val="auto"/>
          <w:szCs w:val="24"/>
        </w:rPr>
        <w:t xml:space="preserve">de la Constitución Política del Estado de Yucatán, </w:t>
      </w:r>
      <w:r w:rsidR="005C2B89" w:rsidRPr="00E647DA">
        <w:rPr>
          <w:iCs/>
          <w:color w:val="auto"/>
          <w:szCs w:val="24"/>
          <w:lang w:val="es-ES"/>
        </w:rPr>
        <w:t xml:space="preserve">toda vez que dicha disposición faculta al Gobernador del Estado para iniciar leyes y decretos. </w:t>
      </w:r>
    </w:p>
    <w:p w14:paraId="3537A2F4" w14:textId="77777777" w:rsidR="005C2B89" w:rsidRPr="00DE3D6F" w:rsidRDefault="005C2B89" w:rsidP="00DE3D6F">
      <w:pPr>
        <w:spacing w:after="0" w:line="360" w:lineRule="auto"/>
        <w:ind w:left="11" w:right="62" w:firstLine="698"/>
        <w:rPr>
          <w:iCs/>
          <w:color w:val="auto"/>
          <w:szCs w:val="24"/>
          <w:lang w:val="es-ES"/>
        </w:rPr>
      </w:pPr>
    </w:p>
    <w:p w14:paraId="7C28AA58" w14:textId="32733545" w:rsidR="009A64A3" w:rsidRPr="00DE3D6F" w:rsidRDefault="005C2B89" w:rsidP="00DE3D6F">
      <w:pPr>
        <w:spacing w:after="0" w:line="360" w:lineRule="auto"/>
        <w:ind w:left="10" w:right="62" w:firstLine="698"/>
        <w:rPr>
          <w:iCs/>
          <w:color w:val="auto"/>
          <w:szCs w:val="24"/>
          <w:lang w:val="es-ES"/>
        </w:rPr>
      </w:pPr>
      <w:r w:rsidRPr="00DE3D6F">
        <w:rPr>
          <w:iCs/>
          <w:color w:val="auto"/>
          <w:szCs w:val="24"/>
          <w:lang w:val="es-ES"/>
        </w:rPr>
        <w:t>Asimismo, de conformidad con el artículo 43, fracción IV, inciso d), de la Ley de Gobierno del Poder Legislativo del Estado de Yucatán, esta Comisión Permanente de Presupuesto, Patrimonio Estatal y Municipal, tiene facultad para conocer de los temas relacionados con la legislación patrimonial del Estado, en lo referente a solicitudes que afecten el patrimonio de la entidad.</w:t>
      </w:r>
    </w:p>
    <w:p w14:paraId="08CF6E9D" w14:textId="77777777" w:rsidR="005C2B89" w:rsidRPr="00DE3D6F" w:rsidRDefault="005C2B89" w:rsidP="00DE3D6F">
      <w:pPr>
        <w:spacing w:after="0" w:line="360" w:lineRule="auto"/>
        <w:ind w:left="10" w:right="62" w:firstLine="0"/>
        <w:rPr>
          <w:iCs/>
          <w:color w:val="auto"/>
          <w:szCs w:val="24"/>
          <w:lang w:val="es-ES"/>
        </w:rPr>
      </w:pPr>
    </w:p>
    <w:p w14:paraId="3024232B" w14:textId="427D238D" w:rsidR="003B3B27" w:rsidRDefault="009A64A3" w:rsidP="003B3B27">
      <w:pPr>
        <w:autoSpaceDE w:val="0"/>
        <w:autoSpaceDN w:val="0"/>
        <w:adjustRightInd w:val="0"/>
        <w:spacing w:after="0" w:line="360" w:lineRule="auto"/>
        <w:ind w:left="0" w:right="-6" w:firstLine="0"/>
        <w:rPr>
          <w:szCs w:val="24"/>
        </w:rPr>
      </w:pPr>
      <w:r w:rsidRPr="00DE3D6F">
        <w:rPr>
          <w:b/>
          <w:iCs/>
          <w:color w:val="auto"/>
          <w:szCs w:val="24"/>
        </w:rPr>
        <w:t>SEGUNDA.</w:t>
      </w:r>
      <w:r w:rsidR="00F663D1">
        <w:rPr>
          <w:rFonts w:eastAsia="Times New Roman"/>
          <w:color w:val="auto"/>
          <w:szCs w:val="24"/>
          <w:lang w:val="es-ES" w:eastAsia="es-ES"/>
        </w:rPr>
        <w:t xml:space="preserve"> </w:t>
      </w:r>
      <w:r w:rsidR="003970FD" w:rsidRPr="00DE3D6F">
        <w:rPr>
          <w:rFonts w:eastAsia="Times New Roman"/>
          <w:color w:val="auto"/>
          <w:szCs w:val="24"/>
          <w:lang w:val="es-ES" w:eastAsia="es-ES"/>
        </w:rPr>
        <w:t>C</w:t>
      </w:r>
      <w:r w:rsidR="00671B85" w:rsidRPr="00DE3D6F">
        <w:rPr>
          <w:rFonts w:eastAsia="Times New Roman"/>
          <w:color w:val="auto"/>
          <w:szCs w:val="24"/>
          <w:lang w:val="es-ES" w:eastAsia="es-ES"/>
        </w:rPr>
        <w:t xml:space="preserve">on la </w:t>
      </w:r>
      <w:r w:rsidR="00634396">
        <w:rPr>
          <w:rFonts w:eastAsia="Times New Roman"/>
          <w:color w:val="auto"/>
          <w:szCs w:val="24"/>
          <w:lang w:val="es-ES" w:eastAsia="es-ES"/>
        </w:rPr>
        <w:t xml:space="preserve">referida </w:t>
      </w:r>
      <w:r w:rsidR="00671B85" w:rsidRPr="00DE3D6F">
        <w:rPr>
          <w:rFonts w:eastAsia="Times New Roman"/>
          <w:color w:val="auto"/>
          <w:szCs w:val="24"/>
          <w:lang w:val="es-ES" w:eastAsia="es-ES"/>
        </w:rPr>
        <w:t>iniciativa, el Poder Ejecutivo del E</w:t>
      </w:r>
      <w:r w:rsidR="000116E1" w:rsidRPr="00DE3D6F">
        <w:rPr>
          <w:rFonts w:eastAsia="Times New Roman"/>
          <w:color w:val="auto"/>
          <w:szCs w:val="24"/>
          <w:lang w:val="es-ES" w:eastAsia="es-ES"/>
        </w:rPr>
        <w:t>stado solicita a este Congreso E</w:t>
      </w:r>
      <w:r w:rsidR="00671B85" w:rsidRPr="00DE3D6F">
        <w:rPr>
          <w:rFonts w:eastAsia="Times New Roman"/>
          <w:color w:val="auto"/>
          <w:szCs w:val="24"/>
          <w:lang w:val="es-ES" w:eastAsia="es-ES"/>
        </w:rPr>
        <w:t xml:space="preserve">statal </w:t>
      </w:r>
      <w:r w:rsidR="00F3452F" w:rsidRPr="00DE3D6F">
        <w:rPr>
          <w:rFonts w:eastAsia="Times New Roman"/>
          <w:color w:val="auto"/>
          <w:szCs w:val="24"/>
          <w:lang w:val="es-ES" w:eastAsia="es-ES"/>
        </w:rPr>
        <w:t xml:space="preserve">la autorización </w:t>
      </w:r>
      <w:r w:rsidR="00F663D1">
        <w:rPr>
          <w:color w:val="auto"/>
          <w:szCs w:val="24"/>
        </w:rPr>
        <w:t>de</w:t>
      </w:r>
      <w:r w:rsidR="00F663D1" w:rsidRPr="00E647DA">
        <w:rPr>
          <w:color w:val="auto"/>
          <w:szCs w:val="24"/>
        </w:rPr>
        <w:t xml:space="preserve"> la donación de </w:t>
      </w:r>
      <w:r w:rsidR="00F663D1">
        <w:rPr>
          <w:color w:val="auto"/>
          <w:szCs w:val="24"/>
        </w:rPr>
        <w:t>un bien inmueble</w:t>
      </w:r>
      <w:r w:rsidR="00F663D1" w:rsidRPr="00E647DA">
        <w:rPr>
          <w:color w:val="auto"/>
          <w:szCs w:val="24"/>
        </w:rPr>
        <w:t xml:space="preserve"> a favor de la </w:t>
      </w:r>
      <w:r w:rsidR="00F663D1">
        <w:rPr>
          <w:rFonts w:eastAsia="Century Gothic"/>
        </w:rPr>
        <w:t>Auditoría Superior</w:t>
      </w:r>
      <w:r w:rsidR="00F663D1" w:rsidRPr="00EC30E8">
        <w:rPr>
          <w:rFonts w:eastAsia="Century Gothic"/>
        </w:rPr>
        <w:t xml:space="preserve"> del Estado de Yucatán</w:t>
      </w:r>
      <w:r w:rsidR="003B3B27">
        <w:rPr>
          <w:rFonts w:eastAsia="Century Gothic"/>
        </w:rPr>
        <w:t xml:space="preserve"> </w:t>
      </w:r>
      <w:r w:rsidR="003B3B27" w:rsidRPr="00DE3D6F">
        <w:rPr>
          <w:szCs w:val="24"/>
        </w:rPr>
        <w:t xml:space="preserve">para destinarlo a funciones de orden público y de competencia de la referida </w:t>
      </w:r>
      <w:r w:rsidR="003B3B27">
        <w:rPr>
          <w:szCs w:val="24"/>
        </w:rPr>
        <w:t>auditoría.</w:t>
      </w:r>
    </w:p>
    <w:p w14:paraId="21FE4CE1" w14:textId="77777777" w:rsidR="0000104F" w:rsidRDefault="0000104F" w:rsidP="003B3B27">
      <w:pPr>
        <w:autoSpaceDE w:val="0"/>
        <w:autoSpaceDN w:val="0"/>
        <w:adjustRightInd w:val="0"/>
        <w:spacing w:after="0" w:line="360" w:lineRule="auto"/>
        <w:ind w:left="0" w:right="-6" w:firstLine="0"/>
        <w:rPr>
          <w:szCs w:val="24"/>
        </w:rPr>
      </w:pPr>
    </w:p>
    <w:p w14:paraId="3071702A" w14:textId="333A4293" w:rsidR="00507E03" w:rsidRDefault="004234F8" w:rsidP="00507E03">
      <w:pPr>
        <w:autoSpaceDE w:val="0"/>
        <w:autoSpaceDN w:val="0"/>
        <w:adjustRightInd w:val="0"/>
        <w:spacing w:after="0" w:line="360" w:lineRule="auto"/>
        <w:ind w:left="0" w:right="-6" w:firstLine="709"/>
        <w:rPr>
          <w:rFonts w:eastAsia="Century Gothic"/>
        </w:rPr>
      </w:pPr>
      <w:r>
        <w:rPr>
          <w:rFonts w:eastAsia="Century Gothic"/>
        </w:rPr>
        <w:t xml:space="preserve">Bajo </w:t>
      </w:r>
      <w:r w:rsidR="000F2910">
        <w:rPr>
          <w:rFonts w:eastAsia="Century Gothic"/>
        </w:rPr>
        <w:t xml:space="preserve">esa premisa, </w:t>
      </w:r>
      <w:r w:rsidR="009D20DF">
        <w:rPr>
          <w:rFonts w:eastAsia="Century Gothic"/>
        </w:rPr>
        <w:t>se tiene a bien señalar que la fiscalización del ejercicio de los recursos públicos es una de las principales atribuciones de los tres órdenes de gobierno en M</w:t>
      </w:r>
      <w:r w:rsidR="00D8359D">
        <w:rPr>
          <w:rFonts w:eastAsia="Century Gothic"/>
        </w:rPr>
        <w:t xml:space="preserve">éxico, ya que es </w:t>
      </w:r>
      <w:r w:rsidR="009D20DF">
        <w:rPr>
          <w:rFonts w:eastAsia="Century Gothic"/>
        </w:rPr>
        <w:t>un proceso por el cual se lleva a cabo la revisión, inspección, vigilancia, seguimiento, auditoría, supervisión, control y evaluación exhaustiva de la gestión p</w:t>
      </w:r>
      <w:r w:rsidR="00507E03">
        <w:rPr>
          <w:rFonts w:eastAsia="Century Gothic"/>
        </w:rPr>
        <w:t xml:space="preserve">ública. </w:t>
      </w:r>
      <w:r w:rsidR="000F2910">
        <w:rPr>
          <w:rFonts w:eastAsia="Century Gothic"/>
        </w:rPr>
        <w:t>Para ello</w:t>
      </w:r>
      <w:r w:rsidR="00286ED7">
        <w:rPr>
          <w:rFonts w:eastAsia="Century Gothic"/>
        </w:rPr>
        <w:t>,</w:t>
      </w:r>
      <w:r w:rsidR="000F2910">
        <w:rPr>
          <w:rFonts w:eastAsia="Century Gothic"/>
        </w:rPr>
        <w:t xml:space="preserve"> se diseñan los instrumentos </w:t>
      </w:r>
      <w:r w:rsidR="009D20DF">
        <w:rPr>
          <w:rFonts w:eastAsia="Century Gothic"/>
        </w:rPr>
        <w:t xml:space="preserve">y mecanismos de control </w:t>
      </w:r>
      <w:r w:rsidR="00634396">
        <w:rPr>
          <w:rFonts w:eastAsia="Century Gothic"/>
        </w:rPr>
        <w:t>que permite</w:t>
      </w:r>
      <w:r w:rsidR="000F2910">
        <w:rPr>
          <w:rFonts w:eastAsia="Century Gothic"/>
        </w:rPr>
        <w:t>n a las entidades y organismos del sector público cumplir con la transpare</w:t>
      </w:r>
      <w:r w:rsidR="00634396">
        <w:rPr>
          <w:rFonts w:eastAsia="Century Gothic"/>
        </w:rPr>
        <w:t>ncia y la rendición de cuentas, en términos de la legislación aplicable en la materia.</w:t>
      </w:r>
    </w:p>
    <w:p w14:paraId="1D0E0241" w14:textId="77777777" w:rsidR="00507E03" w:rsidRDefault="00507E03" w:rsidP="00507E03">
      <w:pPr>
        <w:autoSpaceDE w:val="0"/>
        <w:autoSpaceDN w:val="0"/>
        <w:adjustRightInd w:val="0"/>
        <w:spacing w:after="0" w:line="360" w:lineRule="auto"/>
        <w:ind w:left="0" w:right="-6" w:firstLine="709"/>
        <w:rPr>
          <w:rFonts w:eastAsia="Century Gothic"/>
        </w:rPr>
      </w:pPr>
    </w:p>
    <w:p w14:paraId="24BE7E8A" w14:textId="5582823D" w:rsidR="0097151F" w:rsidRDefault="0097151F" w:rsidP="00E01C42">
      <w:pPr>
        <w:autoSpaceDE w:val="0"/>
        <w:autoSpaceDN w:val="0"/>
        <w:adjustRightInd w:val="0"/>
        <w:spacing w:after="0" w:line="360" w:lineRule="auto"/>
        <w:ind w:left="0" w:right="-6" w:firstLine="709"/>
        <w:rPr>
          <w:rFonts w:eastAsia="Century Gothic"/>
        </w:rPr>
      </w:pPr>
      <w:r>
        <w:rPr>
          <w:rFonts w:eastAsia="Century Gothic"/>
        </w:rPr>
        <w:t xml:space="preserve">Sobre ese mismo sentido, el </w:t>
      </w:r>
      <w:r w:rsidR="00E01C42">
        <w:rPr>
          <w:rFonts w:eastAsia="Century Gothic"/>
        </w:rPr>
        <w:t xml:space="preserve">27 </w:t>
      </w:r>
      <w:r>
        <w:rPr>
          <w:rFonts w:eastAsia="Century Gothic"/>
        </w:rPr>
        <w:t>de mayo d</w:t>
      </w:r>
      <w:r w:rsidR="006D4269">
        <w:rPr>
          <w:rFonts w:eastAsia="Century Gothic"/>
        </w:rPr>
        <w:t>e</w:t>
      </w:r>
      <w:r w:rsidR="00E01C42">
        <w:rPr>
          <w:rFonts w:eastAsia="Century Gothic"/>
        </w:rPr>
        <w:t xml:space="preserve"> 2015</w:t>
      </w:r>
      <w:r>
        <w:rPr>
          <w:rFonts w:eastAsia="Century Gothic"/>
        </w:rPr>
        <w:t>, se publicó en el Diar</w:t>
      </w:r>
      <w:r w:rsidR="00634396">
        <w:rPr>
          <w:rFonts w:eastAsia="Century Gothic"/>
        </w:rPr>
        <w:t>io Oficial de la Federación el d</w:t>
      </w:r>
      <w:r>
        <w:rPr>
          <w:rFonts w:eastAsia="Century Gothic"/>
        </w:rPr>
        <w:t xml:space="preserve">ecreto por el que se </w:t>
      </w:r>
      <w:r w:rsidR="006D4269">
        <w:rPr>
          <w:rFonts w:eastAsia="Century Gothic"/>
        </w:rPr>
        <w:t>reforman, adicionan y derogan</w:t>
      </w:r>
      <w:r>
        <w:rPr>
          <w:rFonts w:eastAsia="Century Gothic"/>
        </w:rPr>
        <w:t xml:space="preserve"> diversas disposiciones de la Constitución Política de los Estados Unidos Mexicanos</w:t>
      </w:r>
      <w:r w:rsidR="006D4269">
        <w:rPr>
          <w:rFonts w:eastAsia="Century Gothic"/>
        </w:rPr>
        <w:t xml:space="preserve"> </w:t>
      </w:r>
      <w:r w:rsidR="00634396">
        <w:rPr>
          <w:rFonts w:eastAsia="Century Gothic"/>
        </w:rPr>
        <w:t>para</w:t>
      </w:r>
      <w:r>
        <w:rPr>
          <w:rFonts w:eastAsia="Century Gothic"/>
        </w:rPr>
        <w:t xml:space="preserve"> </w:t>
      </w:r>
      <w:r w:rsidR="006D4269">
        <w:rPr>
          <w:rFonts w:eastAsia="Century Gothic"/>
        </w:rPr>
        <w:t>fortalecer</w:t>
      </w:r>
      <w:r>
        <w:rPr>
          <w:rFonts w:eastAsia="Century Gothic"/>
        </w:rPr>
        <w:t xml:space="preserve"> </w:t>
      </w:r>
      <w:r w:rsidR="006D4269">
        <w:rPr>
          <w:rFonts w:eastAsia="Century Gothic"/>
        </w:rPr>
        <w:t>e</w:t>
      </w:r>
      <w:r>
        <w:rPr>
          <w:rFonts w:eastAsia="Century Gothic"/>
        </w:rPr>
        <w:t xml:space="preserve">l </w:t>
      </w:r>
      <w:r w:rsidR="006D4269">
        <w:rPr>
          <w:rFonts w:eastAsia="Century Gothic"/>
        </w:rPr>
        <w:t xml:space="preserve">marco jurídico nacional en </w:t>
      </w:r>
      <w:r w:rsidR="00634396">
        <w:rPr>
          <w:rFonts w:eastAsia="Century Gothic"/>
        </w:rPr>
        <w:t xml:space="preserve">diversas </w:t>
      </w:r>
      <w:r w:rsidR="006D4269">
        <w:rPr>
          <w:rFonts w:eastAsia="Century Gothic"/>
        </w:rPr>
        <w:t>materia</w:t>
      </w:r>
      <w:r w:rsidR="00634396">
        <w:rPr>
          <w:rFonts w:eastAsia="Century Gothic"/>
        </w:rPr>
        <w:t xml:space="preserve">s, entre las cuales se observa la </w:t>
      </w:r>
      <w:r w:rsidR="006D4269">
        <w:rPr>
          <w:rFonts w:eastAsia="Century Gothic"/>
        </w:rPr>
        <w:t xml:space="preserve">de </w:t>
      </w:r>
      <w:r w:rsidR="000F2910">
        <w:rPr>
          <w:rFonts w:eastAsia="Century Gothic"/>
        </w:rPr>
        <w:t>fiscalizaci</w:t>
      </w:r>
      <w:r w:rsidR="006440DF">
        <w:rPr>
          <w:rFonts w:eastAsia="Century Gothic"/>
        </w:rPr>
        <w:t xml:space="preserve">ón y </w:t>
      </w:r>
      <w:r w:rsidR="00634396">
        <w:rPr>
          <w:rFonts w:eastAsia="Century Gothic"/>
        </w:rPr>
        <w:t xml:space="preserve">rendición de cuentas, con la finalidad de </w:t>
      </w:r>
      <w:r w:rsidR="006440DF">
        <w:rPr>
          <w:rFonts w:eastAsia="Century Gothic"/>
        </w:rPr>
        <w:t>coadyuvar a la erradicación de la corrupción en los distintos órdenes de gobierno del país.</w:t>
      </w:r>
      <w:r>
        <w:rPr>
          <w:rFonts w:eastAsia="Century Gothic"/>
        </w:rPr>
        <w:t xml:space="preserve"> Como resultad</w:t>
      </w:r>
      <w:r w:rsidR="00E01C42">
        <w:rPr>
          <w:rFonts w:eastAsia="Century Gothic"/>
        </w:rPr>
        <w:t>o de dichas reformas</w:t>
      </w:r>
      <w:r>
        <w:rPr>
          <w:rFonts w:eastAsia="Century Gothic"/>
        </w:rPr>
        <w:t xml:space="preserve">, </w:t>
      </w:r>
      <w:r w:rsidR="00E01C42">
        <w:rPr>
          <w:rFonts w:eastAsia="Century Gothic"/>
        </w:rPr>
        <w:t>la fracción II d</w:t>
      </w:r>
      <w:r>
        <w:rPr>
          <w:rFonts w:eastAsia="Century Gothic"/>
        </w:rPr>
        <w:t>el artículo 116 constituciona</w:t>
      </w:r>
      <w:r w:rsidR="006440DF">
        <w:rPr>
          <w:rFonts w:eastAsia="Century Gothic"/>
        </w:rPr>
        <w:t>l prevé</w:t>
      </w:r>
      <w:r w:rsidR="00E01C42">
        <w:rPr>
          <w:rFonts w:eastAsia="Century Gothic"/>
        </w:rPr>
        <w:t xml:space="preserve"> la obligación que tienen todas las entidades federativas de contar con órganos con autonomía técnica y de gestión en el ejercicio de sus atribuciones, es decir, con entidades estatales de fiscalización.</w:t>
      </w:r>
    </w:p>
    <w:p w14:paraId="0A96B794" w14:textId="77777777" w:rsidR="00E01C42" w:rsidRDefault="00E01C42" w:rsidP="003E308A">
      <w:pPr>
        <w:autoSpaceDE w:val="0"/>
        <w:autoSpaceDN w:val="0"/>
        <w:adjustRightInd w:val="0"/>
        <w:spacing w:after="0" w:line="240" w:lineRule="auto"/>
        <w:ind w:left="0" w:right="-6" w:firstLine="709"/>
        <w:rPr>
          <w:rFonts w:eastAsia="Century Gothic"/>
        </w:rPr>
      </w:pPr>
    </w:p>
    <w:p w14:paraId="74D40E6F" w14:textId="17A005D1" w:rsidR="006440DF" w:rsidRDefault="006440DF" w:rsidP="00507E03">
      <w:pPr>
        <w:autoSpaceDE w:val="0"/>
        <w:autoSpaceDN w:val="0"/>
        <w:adjustRightInd w:val="0"/>
        <w:spacing w:after="0" w:line="360" w:lineRule="auto"/>
        <w:ind w:left="0" w:right="-6" w:firstLine="709"/>
        <w:rPr>
          <w:rFonts w:eastAsia="Century Gothic"/>
        </w:rPr>
      </w:pPr>
      <w:r>
        <w:rPr>
          <w:rFonts w:eastAsia="Century Gothic"/>
        </w:rPr>
        <w:t xml:space="preserve">Posteriormente, en fecha 18 de julio de 2016 y, en cumplimiento </w:t>
      </w:r>
      <w:r w:rsidR="00634396">
        <w:rPr>
          <w:rFonts w:eastAsia="Century Gothic"/>
        </w:rPr>
        <w:t>con lo dispuesto en</w:t>
      </w:r>
      <w:r>
        <w:rPr>
          <w:rFonts w:eastAsia="Century Gothic"/>
        </w:rPr>
        <w:t xml:space="preserve"> los artículos segundo y quinto transitorios del decreto antes mencionado, se expidió la Ley de Fiscalización y Rendición de Cuentas de la Federación, la cual forma parte de la legislación secundaria de la reforma constitucional federal en materia de combate a la corrupción. </w:t>
      </w:r>
    </w:p>
    <w:p w14:paraId="063AB83B" w14:textId="77777777" w:rsidR="006440DF" w:rsidRDefault="006440DF" w:rsidP="003E308A">
      <w:pPr>
        <w:autoSpaceDE w:val="0"/>
        <w:autoSpaceDN w:val="0"/>
        <w:adjustRightInd w:val="0"/>
        <w:spacing w:after="0" w:line="360" w:lineRule="auto"/>
        <w:ind w:left="0" w:right="-6" w:firstLine="709"/>
        <w:rPr>
          <w:rFonts w:eastAsia="Century Gothic"/>
        </w:rPr>
      </w:pPr>
    </w:p>
    <w:p w14:paraId="0A251D5E" w14:textId="3DA875E5" w:rsidR="005E6799" w:rsidRDefault="00897A03" w:rsidP="00507E03">
      <w:pPr>
        <w:autoSpaceDE w:val="0"/>
        <w:autoSpaceDN w:val="0"/>
        <w:adjustRightInd w:val="0"/>
        <w:spacing w:after="0" w:line="360" w:lineRule="auto"/>
        <w:ind w:left="0" w:right="-6" w:firstLine="709"/>
        <w:rPr>
          <w:rFonts w:eastAsia="Century Gothic"/>
        </w:rPr>
      </w:pPr>
      <w:r>
        <w:rPr>
          <w:rFonts w:eastAsia="Century Gothic"/>
        </w:rPr>
        <w:t xml:space="preserve">En </w:t>
      </w:r>
      <w:r w:rsidR="00D40B50">
        <w:rPr>
          <w:rFonts w:eastAsia="Century Gothic"/>
        </w:rPr>
        <w:t>lo que respecta</w:t>
      </w:r>
      <w:r w:rsidR="00286ED7">
        <w:rPr>
          <w:rFonts w:eastAsia="Century Gothic"/>
        </w:rPr>
        <w:t xml:space="preserve"> </w:t>
      </w:r>
      <w:r w:rsidR="005E6799">
        <w:rPr>
          <w:rFonts w:eastAsia="Century Gothic"/>
        </w:rPr>
        <w:t>a</w:t>
      </w:r>
      <w:r w:rsidR="00D40B50">
        <w:rPr>
          <w:rFonts w:eastAsia="Century Gothic"/>
        </w:rPr>
        <w:t>l</w:t>
      </w:r>
      <w:r w:rsidR="005E6799">
        <w:rPr>
          <w:rFonts w:eastAsia="Century Gothic"/>
        </w:rPr>
        <w:t xml:space="preserve"> nivel estatal</w:t>
      </w:r>
      <w:r w:rsidR="00286ED7">
        <w:rPr>
          <w:rFonts w:eastAsia="Century Gothic"/>
        </w:rPr>
        <w:t xml:space="preserve">, </w:t>
      </w:r>
      <w:r w:rsidR="005E6799">
        <w:rPr>
          <w:rFonts w:eastAsia="Century Gothic"/>
        </w:rPr>
        <w:t>en</w:t>
      </w:r>
      <w:r w:rsidR="009C4DDC">
        <w:rPr>
          <w:rFonts w:eastAsia="Century Gothic"/>
        </w:rPr>
        <w:t xml:space="preserve"> fecha 20 de abril de 2016</w:t>
      </w:r>
      <w:r w:rsidR="005E6799">
        <w:rPr>
          <w:rFonts w:eastAsia="Century Gothic"/>
        </w:rPr>
        <w:t>, se publicó en el Diario Oficial del Gobierno del Estado de Yucatán</w:t>
      </w:r>
      <w:r w:rsidR="00634396">
        <w:rPr>
          <w:rFonts w:eastAsia="Century Gothic"/>
        </w:rPr>
        <w:t>,</w:t>
      </w:r>
      <w:r w:rsidR="005E6799">
        <w:rPr>
          <w:rFonts w:eastAsia="Century Gothic"/>
        </w:rPr>
        <w:t xml:space="preserve"> el D</w:t>
      </w:r>
      <w:r>
        <w:rPr>
          <w:rFonts w:eastAsia="Century Gothic"/>
        </w:rPr>
        <w:t xml:space="preserve">ecreto 380 por el que se </w:t>
      </w:r>
      <w:r w:rsidR="005E6799">
        <w:rPr>
          <w:rFonts w:eastAsia="Century Gothic"/>
        </w:rPr>
        <w:t>modific</w:t>
      </w:r>
      <w:r>
        <w:rPr>
          <w:rFonts w:eastAsia="Century Gothic"/>
        </w:rPr>
        <w:t>a</w:t>
      </w:r>
      <w:r w:rsidR="005E6799">
        <w:rPr>
          <w:rFonts w:eastAsia="Century Gothic"/>
        </w:rPr>
        <w:t xml:space="preserve"> la Constitución Política del Estado de Yucatán, en materia de anticorrupción y transparencia, a fin de armonizar el marco jurídico local conforme lo </w:t>
      </w:r>
      <w:r w:rsidR="00634396">
        <w:rPr>
          <w:rFonts w:eastAsia="Century Gothic"/>
        </w:rPr>
        <w:t>previsto</w:t>
      </w:r>
      <w:r w:rsidR="005E6799">
        <w:rPr>
          <w:rFonts w:eastAsia="Century Gothic"/>
        </w:rPr>
        <w:t xml:space="preserve"> en la Constitución federal.</w:t>
      </w:r>
      <w:r w:rsidR="00BA046F">
        <w:rPr>
          <w:rFonts w:eastAsia="Century Gothic"/>
        </w:rPr>
        <w:t xml:space="preserve"> </w:t>
      </w:r>
    </w:p>
    <w:p w14:paraId="71AB23F2" w14:textId="77777777" w:rsidR="00687D5F" w:rsidRDefault="00687D5F" w:rsidP="00507E03">
      <w:pPr>
        <w:autoSpaceDE w:val="0"/>
        <w:autoSpaceDN w:val="0"/>
        <w:adjustRightInd w:val="0"/>
        <w:spacing w:after="0" w:line="360" w:lineRule="auto"/>
        <w:ind w:left="0" w:right="-6" w:firstLine="709"/>
        <w:rPr>
          <w:rFonts w:eastAsia="Century Gothic"/>
        </w:rPr>
      </w:pPr>
    </w:p>
    <w:p w14:paraId="4D8EE23D" w14:textId="21267020" w:rsidR="00687D5F" w:rsidRDefault="008D1372" w:rsidP="00507E03">
      <w:pPr>
        <w:autoSpaceDE w:val="0"/>
        <w:autoSpaceDN w:val="0"/>
        <w:adjustRightInd w:val="0"/>
        <w:spacing w:after="0" w:line="360" w:lineRule="auto"/>
        <w:ind w:left="0" w:right="-6" w:firstLine="709"/>
        <w:rPr>
          <w:rFonts w:eastAsia="Century Gothic"/>
        </w:rPr>
      </w:pPr>
      <w:r>
        <w:rPr>
          <w:rFonts w:eastAsia="Century Gothic"/>
        </w:rPr>
        <w:t>En este tenor</w:t>
      </w:r>
      <w:r w:rsidR="00687D5F">
        <w:rPr>
          <w:rFonts w:eastAsia="Century Gothic"/>
        </w:rPr>
        <w:t xml:space="preserve">, la fracción VII del artículo 30 de la Constitución local, </w:t>
      </w:r>
      <w:r>
        <w:rPr>
          <w:rFonts w:eastAsia="Century Gothic"/>
        </w:rPr>
        <w:t>establece</w:t>
      </w:r>
      <w:r w:rsidR="00687D5F">
        <w:rPr>
          <w:rFonts w:eastAsia="Century Gothic"/>
        </w:rPr>
        <w:t xml:space="preserve"> que la revisión de la cuenta pública es una facultad y atribución del Congreso del Estado, </w:t>
      </w:r>
      <w:r>
        <w:rPr>
          <w:rFonts w:eastAsia="Century Gothic"/>
        </w:rPr>
        <w:t>la cual</w:t>
      </w:r>
      <w:r w:rsidR="00687D5F">
        <w:rPr>
          <w:rFonts w:eastAsia="Century Gothic"/>
        </w:rPr>
        <w:t xml:space="preserve"> se realiza a través de la Auditoría Superior del Estado</w:t>
      </w:r>
      <w:r>
        <w:rPr>
          <w:rFonts w:eastAsia="Century Gothic"/>
        </w:rPr>
        <w:t xml:space="preserve">. Asimismo, el artículo 43 Bis de dicho ordenamiento constitucional prevé a la Auditoría Superior del Estado como un órgano con autonomía técnica, presupuestal y de gestión, para el ejercicio de sus atribuciones, principalmente para la función de fiscalización, </w:t>
      </w:r>
      <w:r w:rsidR="003E308A">
        <w:rPr>
          <w:rFonts w:eastAsia="Century Gothic"/>
        </w:rPr>
        <w:t>misma que</w:t>
      </w:r>
      <w:r>
        <w:rPr>
          <w:rFonts w:eastAsia="Century Gothic"/>
        </w:rPr>
        <w:t xml:space="preserve"> debe llevar</w:t>
      </w:r>
      <w:r w:rsidR="003E308A">
        <w:rPr>
          <w:rFonts w:eastAsia="Century Gothic"/>
        </w:rPr>
        <w:t>se</w:t>
      </w:r>
      <w:r>
        <w:rPr>
          <w:rFonts w:eastAsia="Century Gothic"/>
        </w:rPr>
        <w:t xml:space="preserve"> a cabo bajo los principios de legalidad,</w:t>
      </w:r>
      <w:r w:rsidR="003E308A">
        <w:rPr>
          <w:rFonts w:eastAsia="Century Gothic"/>
        </w:rPr>
        <w:t xml:space="preserve"> imparcialidad y confiabilidad, entre otros.</w:t>
      </w:r>
    </w:p>
    <w:p w14:paraId="2536F03D" w14:textId="77777777" w:rsidR="00D40B50" w:rsidRDefault="00D40B50" w:rsidP="003E308A">
      <w:pPr>
        <w:autoSpaceDE w:val="0"/>
        <w:autoSpaceDN w:val="0"/>
        <w:adjustRightInd w:val="0"/>
        <w:spacing w:after="0" w:line="240" w:lineRule="auto"/>
        <w:ind w:left="0" w:right="-6" w:firstLine="709"/>
        <w:rPr>
          <w:rFonts w:eastAsia="Century Gothic"/>
        </w:rPr>
      </w:pPr>
    </w:p>
    <w:p w14:paraId="47AB15F2" w14:textId="541A8140" w:rsidR="00D40B50" w:rsidRDefault="007B1122" w:rsidP="00507E03">
      <w:pPr>
        <w:autoSpaceDE w:val="0"/>
        <w:autoSpaceDN w:val="0"/>
        <w:adjustRightInd w:val="0"/>
        <w:spacing w:after="0" w:line="360" w:lineRule="auto"/>
        <w:ind w:left="0" w:right="-6" w:firstLine="709"/>
        <w:rPr>
          <w:rFonts w:eastAsia="Century Gothic"/>
        </w:rPr>
      </w:pPr>
      <w:r>
        <w:rPr>
          <w:rFonts w:eastAsia="Century Gothic"/>
        </w:rPr>
        <w:t>En con</w:t>
      </w:r>
      <w:r w:rsidR="003E308A">
        <w:rPr>
          <w:rFonts w:eastAsia="Century Gothic"/>
        </w:rPr>
        <w:t>cordancia</w:t>
      </w:r>
      <w:r w:rsidR="00D40B50">
        <w:rPr>
          <w:rFonts w:eastAsia="Century Gothic"/>
        </w:rPr>
        <w:t xml:space="preserve">, </w:t>
      </w:r>
      <w:r>
        <w:rPr>
          <w:rFonts w:eastAsia="Century Gothic"/>
        </w:rPr>
        <w:t>los artículos 65 y 69 de</w:t>
      </w:r>
      <w:r w:rsidR="00D40B50">
        <w:rPr>
          <w:rFonts w:eastAsia="Century Gothic"/>
        </w:rPr>
        <w:t xml:space="preserve"> Ley del Gobierno del Poder Legislativo del Estado de Yucatán</w:t>
      </w:r>
      <w:r>
        <w:rPr>
          <w:rFonts w:eastAsia="Century Gothic"/>
        </w:rPr>
        <w:t xml:space="preserve"> establecen que, para el cumplimiento de sus atribuciones, el Poder Legislativo se apoya en diversos órganos técnicos y administrativos, entre los cuales se encuentra l</w:t>
      </w:r>
      <w:r w:rsidR="003E308A">
        <w:rPr>
          <w:rFonts w:eastAsia="Century Gothic"/>
        </w:rPr>
        <w:t>a Auditoría Superior del Estado.</w:t>
      </w:r>
      <w:r>
        <w:rPr>
          <w:rFonts w:eastAsia="Century Gothic"/>
        </w:rPr>
        <w:t xml:space="preserve"> </w:t>
      </w:r>
    </w:p>
    <w:p w14:paraId="4C92DED3" w14:textId="77777777" w:rsidR="00286ED7" w:rsidRDefault="00286ED7" w:rsidP="00A56916">
      <w:pPr>
        <w:autoSpaceDE w:val="0"/>
        <w:autoSpaceDN w:val="0"/>
        <w:adjustRightInd w:val="0"/>
        <w:spacing w:after="0" w:line="240" w:lineRule="auto"/>
        <w:ind w:left="0" w:right="-6" w:firstLine="709"/>
        <w:rPr>
          <w:rFonts w:eastAsia="Century Gothic"/>
        </w:rPr>
      </w:pPr>
    </w:p>
    <w:p w14:paraId="4C35C979" w14:textId="6C330C88" w:rsidR="007B1122" w:rsidRDefault="009C57D4" w:rsidP="00D40B50">
      <w:pPr>
        <w:autoSpaceDE w:val="0"/>
        <w:autoSpaceDN w:val="0"/>
        <w:adjustRightInd w:val="0"/>
        <w:spacing w:after="0" w:line="360" w:lineRule="auto"/>
        <w:ind w:left="0" w:right="-6" w:firstLine="709"/>
        <w:rPr>
          <w:rFonts w:eastAsia="Century Gothic"/>
        </w:rPr>
      </w:pPr>
      <w:r>
        <w:rPr>
          <w:rFonts w:eastAsia="Century Gothic"/>
        </w:rPr>
        <w:t>A su vez</w:t>
      </w:r>
      <w:r w:rsidR="005D6AC2">
        <w:rPr>
          <w:rFonts w:eastAsia="Century Gothic"/>
        </w:rPr>
        <w:t xml:space="preserve">, </w:t>
      </w:r>
      <w:r w:rsidR="00D40B50">
        <w:rPr>
          <w:rFonts w:eastAsia="Century Gothic"/>
        </w:rPr>
        <w:t>el 18 de julio de 2</w:t>
      </w:r>
      <w:r w:rsidR="003E308A">
        <w:rPr>
          <w:rFonts w:eastAsia="Century Gothic"/>
        </w:rPr>
        <w:t xml:space="preserve">017, mediante Decreto 508/2017 </w:t>
      </w:r>
      <w:r w:rsidR="00D40B50">
        <w:rPr>
          <w:rFonts w:eastAsia="Century Gothic"/>
        </w:rPr>
        <w:t xml:space="preserve">publicado en el Diario Oficial del Gobierno del Estado, </w:t>
      </w:r>
      <w:r w:rsidR="005E6799">
        <w:rPr>
          <w:rFonts w:eastAsia="Century Gothic"/>
        </w:rPr>
        <w:t>se expidió la Ley de Fiscalización del Estado de Yucat</w:t>
      </w:r>
      <w:r w:rsidR="00D40B50">
        <w:rPr>
          <w:rFonts w:eastAsia="Century Gothic"/>
        </w:rPr>
        <w:t>án, la cual tiene</w:t>
      </w:r>
      <w:r w:rsidR="005D6AC2">
        <w:rPr>
          <w:rFonts w:eastAsia="Century Gothic"/>
        </w:rPr>
        <w:t xml:space="preserve"> por </w:t>
      </w:r>
      <w:r w:rsidR="00A02834">
        <w:rPr>
          <w:rFonts w:eastAsia="Century Gothic"/>
        </w:rPr>
        <w:t xml:space="preserve">objeto </w:t>
      </w:r>
      <w:r w:rsidR="007B1122">
        <w:rPr>
          <w:rFonts w:eastAsia="Century Gothic"/>
        </w:rPr>
        <w:t xml:space="preserve">reglamentar la revisión y fiscalización de la cuenta pública e información financiera gubernamental, así como </w:t>
      </w:r>
      <w:r w:rsidR="00A02834">
        <w:rPr>
          <w:rFonts w:eastAsia="Century Gothic"/>
        </w:rPr>
        <w:t xml:space="preserve">establecer las </w:t>
      </w:r>
      <w:r w:rsidR="007B1122">
        <w:rPr>
          <w:rFonts w:eastAsia="Century Gothic"/>
        </w:rPr>
        <w:t xml:space="preserve">atribuciones </w:t>
      </w:r>
      <w:r w:rsidR="003E308A">
        <w:rPr>
          <w:rFonts w:eastAsia="Century Gothic"/>
        </w:rPr>
        <w:t xml:space="preserve">y funcionamiento </w:t>
      </w:r>
      <w:r w:rsidR="007B1122">
        <w:rPr>
          <w:rFonts w:eastAsia="Century Gothic"/>
        </w:rPr>
        <w:t xml:space="preserve">de la Auditoría Superior del Estado. </w:t>
      </w:r>
    </w:p>
    <w:p w14:paraId="65957E0C" w14:textId="77777777" w:rsidR="003F17B3" w:rsidRDefault="003F17B3" w:rsidP="00D40B50">
      <w:pPr>
        <w:autoSpaceDE w:val="0"/>
        <w:autoSpaceDN w:val="0"/>
        <w:adjustRightInd w:val="0"/>
        <w:spacing w:after="0" w:line="360" w:lineRule="auto"/>
        <w:ind w:left="0" w:right="-6" w:firstLine="709"/>
        <w:rPr>
          <w:rFonts w:eastAsia="Century Gothic"/>
        </w:rPr>
      </w:pPr>
    </w:p>
    <w:p w14:paraId="66EB9455" w14:textId="1D7AC03A" w:rsidR="00D40B50" w:rsidRPr="00D40B50" w:rsidRDefault="003F17B3" w:rsidP="00D40B50">
      <w:pPr>
        <w:autoSpaceDE w:val="0"/>
        <w:autoSpaceDN w:val="0"/>
        <w:adjustRightInd w:val="0"/>
        <w:spacing w:after="0" w:line="360" w:lineRule="auto"/>
        <w:ind w:left="0" w:right="-6" w:firstLine="709"/>
        <w:rPr>
          <w:rFonts w:eastAsia="Century Gothic"/>
        </w:rPr>
      </w:pPr>
      <w:r>
        <w:rPr>
          <w:rFonts w:eastAsia="Century Gothic"/>
        </w:rPr>
        <w:t>De igual manera, el citado</w:t>
      </w:r>
      <w:r w:rsidR="00D40B50">
        <w:rPr>
          <w:rFonts w:eastAsia="Century Gothic"/>
        </w:rPr>
        <w:t xml:space="preserve"> ordenamiento legal </w:t>
      </w:r>
      <w:r w:rsidR="003E308A">
        <w:rPr>
          <w:rFonts w:eastAsia="Century Gothic"/>
        </w:rPr>
        <w:t>establece, en los</w:t>
      </w:r>
      <w:r w:rsidR="00D40B50" w:rsidRPr="00D40B50">
        <w:rPr>
          <w:rFonts w:eastAsia="Century Gothic"/>
        </w:rPr>
        <w:t xml:space="preserve"> artículo</w:t>
      </w:r>
      <w:r w:rsidR="003E308A">
        <w:rPr>
          <w:rFonts w:eastAsia="Century Gothic"/>
        </w:rPr>
        <w:t>s</w:t>
      </w:r>
      <w:r w:rsidR="00D40B50" w:rsidRPr="00D40B50">
        <w:rPr>
          <w:rFonts w:eastAsia="Century Gothic"/>
        </w:rPr>
        <w:t xml:space="preserve"> 15 y 23, fracciones I, III y IV, que al frente de la Auditoría Superior del Estado estará el auditor superior del estado, quien será el encargado de su representación institucional y de su administración, el cual tendrá entre sus facultades y obligaciones, representar a la Auditoría Superior ante las entidades fiscalizadas, las autoridades federales, locales y municipales, las demás personas físicas y morales, públicas o privadas, y con quien guarde relación su actuación; administrar los bienes y recursos a cargo de la Auditoría Superior; y gestionar la incorporación, el destino y la desincorporación de bienes inm</w:t>
      </w:r>
      <w:r w:rsidR="00293409">
        <w:rPr>
          <w:rFonts w:eastAsia="Century Gothic"/>
        </w:rPr>
        <w:t>uebles del dominio público del E</w:t>
      </w:r>
      <w:r w:rsidR="00D40B50" w:rsidRPr="00D40B50">
        <w:rPr>
          <w:rFonts w:eastAsia="Century Gothic"/>
        </w:rPr>
        <w:t>stado afectos a su servicio.</w:t>
      </w:r>
    </w:p>
    <w:p w14:paraId="2B87F6AE" w14:textId="77777777" w:rsidR="005E6799" w:rsidRDefault="005E6799" w:rsidP="00D40B50">
      <w:pPr>
        <w:autoSpaceDE w:val="0"/>
        <w:autoSpaceDN w:val="0"/>
        <w:adjustRightInd w:val="0"/>
        <w:spacing w:after="0" w:line="360" w:lineRule="auto"/>
        <w:ind w:left="0" w:right="-6" w:firstLine="0"/>
        <w:rPr>
          <w:rFonts w:eastAsia="Century Gothic"/>
        </w:rPr>
      </w:pPr>
    </w:p>
    <w:p w14:paraId="0B737512" w14:textId="00F02140" w:rsidR="002A43E8" w:rsidRPr="003B3B27" w:rsidRDefault="003F17B3" w:rsidP="00B03531">
      <w:pPr>
        <w:autoSpaceDE w:val="0"/>
        <w:autoSpaceDN w:val="0"/>
        <w:adjustRightInd w:val="0"/>
        <w:spacing w:after="0" w:line="360" w:lineRule="auto"/>
        <w:ind w:left="0" w:right="-6" w:firstLine="0"/>
        <w:rPr>
          <w:rFonts w:eastAsia="Century Gothic"/>
        </w:rPr>
      </w:pPr>
      <w:r w:rsidRPr="0081052B">
        <w:rPr>
          <w:rFonts w:eastAsia="Century Gothic"/>
          <w:b/>
        </w:rPr>
        <w:t>TERCERA</w:t>
      </w:r>
      <w:r w:rsidR="00897A03" w:rsidRPr="0081052B">
        <w:rPr>
          <w:rFonts w:eastAsia="Century Gothic"/>
          <w:b/>
        </w:rPr>
        <w:t>.</w:t>
      </w:r>
      <w:r w:rsidR="00897A03">
        <w:rPr>
          <w:rFonts w:eastAsia="Century Gothic"/>
        </w:rPr>
        <w:t xml:space="preserve"> </w:t>
      </w:r>
      <w:r w:rsidR="009D3EEF">
        <w:rPr>
          <w:rFonts w:eastAsia="Century Gothic"/>
        </w:rPr>
        <w:t>Por consiguiente</w:t>
      </w:r>
      <w:r w:rsidR="00777656">
        <w:rPr>
          <w:rFonts w:eastAsia="Century Gothic"/>
        </w:rPr>
        <w:t xml:space="preserve">, </w:t>
      </w:r>
      <w:r w:rsidR="009D3EEF">
        <w:rPr>
          <w:rFonts w:eastAsia="Century Gothic"/>
        </w:rPr>
        <w:t xml:space="preserve">y </w:t>
      </w:r>
      <w:r w:rsidR="00777656">
        <w:rPr>
          <w:rFonts w:eastAsia="Century Gothic"/>
        </w:rPr>
        <w:t xml:space="preserve">habiendo </w:t>
      </w:r>
      <w:r w:rsidR="002A43E8">
        <w:rPr>
          <w:rFonts w:eastAsia="Century Gothic"/>
        </w:rPr>
        <w:t xml:space="preserve">precisado </w:t>
      </w:r>
      <w:r w:rsidR="00777656">
        <w:rPr>
          <w:rFonts w:eastAsia="Century Gothic"/>
        </w:rPr>
        <w:t>el marco jurídico de la materia</w:t>
      </w:r>
      <w:r w:rsidR="003E308A">
        <w:rPr>
          <w:rFonts w:eastAsia="Century Gothic"/>
        </w:rPr>
        <w:t xml:space="preserve"> que nos atañe</w:t>
      </w:r>
      <w:r w:rsidR="00777656">
        <w:rPr>
          <w:rFonts w:eastAsia="Century Gothic"/>
        </w:rPr>
        <w:t xml:space="preserve">, es </w:t>
      </w:r>
      <w:r w:rsidR="00B03531">
        <w:rPr>
          <w:rFonts w:eastAsia="Century Gothic"/>
        </w:rPr>
        <w:t>importante</w:t>
      </w:r>
      <w:r w:rsidR="00777656">
        <w:rPr>
          <w:rFonts w:eastAsia="Century Gothic"/>
        </w:rPr>
        <w:t xml:space="preserve"> </w:t>
      </w:r>
      <w:r w:rsidR="00B03531">
        <w:rPr>
          <w:rFonts w:eastAsia="Century Gothic"/>
        </w:rPr>
        <w:t xml:space="preserve">señalar </w:t>
      </w:r>
      <w:r w:rsidR="00777656">
        <w:rPr>
          <w:rFonts w:eastAsia="Century Gothic"/>
        </w:rPr>
        <w:t xml:space="preserve">que </w:t>
      </w:r>
      <w:r w:rsidR="00777656" w:rsidRPr="0081052B">
        <w:rPr>
          <w:rFonts w:eastAsia="Century Gothic"/>
        </w:rPr>
        <w:t xml:space="preserve">la Auditoría Superior del Estado </w:t>
      </w:r>
      <w:r w:rsidR="002A43E8">
        <w:rPr>
          <w:rFonts w:eastAsia="Century Gothic"/>
        </w:rPr>
        <w:t>al ser</w:t>
      </w:r>
      <w:r w:rsidR="00777656">
        <w:rPr>
          <w:rFonts w:eastAsia="Century Gothic"/>
        </w:rPr>
        <w:t xml:space="preserve"> </w:t>
      </w:r>
      <w:r w:rsidR="002A43E8">
        <w:rPr>
          <w:rFonts w:eastAsia="Century Gothic"/>
        </w:rPr>
        <w:t xml:space="preserve">el órgano </w:t>
      </w:r>
      <w:r w:rsidR="00777656" w:rsidRPr="0081052B">
        <w:rPr>
          <w:rFonts w:eastAsia="Century Gothic"/>
        </w:rPr>
        <w:t>encargado del funcionamiento del sistema estatal de fiscalización y rendición de cuenta</w:t>
      </w:r>
      <w:r w:rsidR="002A43E8">
        <w:rPr>
          <w:rFonts w:eastAsia="Century Gothic"/>
        </w:rPr>
        <w:t>s,</w:t>
      </w:r>
      <w:r w:rsidR="00FB155C">
        <w:rPr>
          <w:rFonts w:eastAsia="Century Gothic"/>
        </w:rPr>
        <w:t xml:space="preserve"> constantemente</w:t>
      </w:r>
      <w:r w:rsidR="002A43E8">
        <w:rPr>
          <w:rFonts w:eastAsia="Century Gothic"/>
        </w:rPr>
        <w:t xml:space="preserve"> </w:t>
      </w:r>
      <w:r w:rsidR="00B03531">
        <w:rPr>
          <w:rFonts w:eastAsia="Century Gothic"/>
        </w:rPr>
        <w:t>se encuentra en procesos de modernización y mejora continua, tanto de sus sistemas de cont</w:t>
      </w:r>
      <w:r w:rsidR="00FB155C">
        <w:rPr>
          <w:rFonts w:eastAsia="Century Gothic"/>
        </w:rPr>
        <w:t>rol contable como</w:t>
      </w:r>
      <w:r w:rsidR="00B03531">
        <w:rPr>
          <w:rFonts w:eastAsia="Century Gothic"/>
        </w:rPr>
        <w:t xml:space="preserve"> administrativos, por lo cual, </w:t>
      </w:r>
      <w:r w:rsidR="00777656">
        <w:rPr>
          <w:rFonts w:eastAsia="Century Gothic"/>
        </w:rPr>
        <w:t xml:space="preserve">indudablemente, </w:t>
      </w:r>
      <w:r w:rsidR="00B03531">
        <w:rPr>
          <w:rFonts w:eastAsia="Century Gothic"/>
        </w:rPr>
        <w:t xml:space="preserve">requiere de </w:t>
      </w:r>
      <w:r w:rsidR="002A43E8">
        <w:rPr>
          <w:rFonts w:eastAsia="Century Gothic"/>
        </w:rPr>
        <w:t>los</w:t>
      </w:r>
      <w:r w:rsidR="00777656" w:rsidRPr="0081052B">
        <w:rPr>
          <w:rFonts w:eastAsia="Century Gothic"/>
        </w:rPr>
        <w:t xml:space="preserve"> recursos humanos, financieros, materiales y tecnológicos </w:t>
      </w:r>
      <w:r w:rsidR="002A43E8">
        <w:rPr>
          <w:rFonts w:eastAsia="Century Gothic"/>
        </w:rPr>
        <w:t xml:space="preserve">necesarios </w:t>
      </w:r>
      <w:r w:rsidR="00B03531">
        <w:rPr>
          <w:rFonts w:eastAsia="Century Gothic"/>
        </w:rPr>
        <w:t>para</w:t>
      </w:r>
      <w:r w:rsidR="00777656" w:rsidRPr="0081052B">
        <w:rPr>
          <w:rFonts w:eastAsia="Century Gothic"/>
        </w:rPr>
        <w:t xml:space="preserve"> el ejercicio de sus atribuciones</w:t>
      </w:r>
      <w:r w:rsidR="00B03531">
        <w:rPr>
          <w:rFonts w:eastAsia="Century Gothic"/>
        </w:rPr>
        <w:t>, así como para</w:t>
      </w:r>
      <w:r w:rsidR="002A43E8">
        <w:rPr>
          <w:rFonts w:eastAsia="Century Gothic"/>
        </w:rPr>
        <w:t xml:space="preserve"> respaldar las operaciones que realiza</w:t>
      </w:r>
      <w:r w:rsidR="00B03531">
        <w:rPr>
          <w:rFonts w:eastAsia="Century Gothic"/>
        </w:rPr>
        <w:t xml:space="preserve"> en</w:t>
      </w:r>
      <w:r w:rsidR="002A43E8">
        <w:rPr>
          <w:rFonts w:eastAsia="Century Gothic"/>
        </w:rPr>
        <w:t xml:space="preserve"> la obtención de información financiera correcta, oportuna, confiable y transparente respecto al ejercicio de los recursos públicos</w:t>
      </w:r>
      <w:r w:rsidR="00B03531">
        <w:rPr>
          <w:rFonts w:eastAsia="Century Gothic"/>
        </w:rPr>
        <w:t>.</w:t>
      </w:r>
      <w:r w:rsidR="002A43E8">
        <w:rPr>
          <w:rFonts w:eastAsia="Century Gothic"/>
        </w:rPr>
        <w:t xml:space="preserve"> </w:t>
      </w:r>
    </w:p>
    <w:p w14:paraId="236C7A99" w14:textId="4783196E" w:rsidR="008B028F" w:rsidRDefault="008B028F" w:rsidP="00777656">
      <w:pPr>
        <w:autoSpaceDE w:val="0"/>
        <w:autoSpaceDN w:val="0"/>
        <w:adjustRightInd w:val="0"/>
        <w:spacing w:after="0" w:line="360" w:lineRule="auto"/>
        <w:ind w:left="0" w:right="-6" w:firstLine="709"/>
        <w:rPr>
          <w:rFonts w:eastAsia="Century Gothic"/>
        </w:rPr>
      </w:pPr>
    </w:p>
    <w:p w14:paraId="62049F18" w14:textId="1BADC86C" w:rsidR="00036FBD" w:rsidRDefault="00B03531" w:rsidP="003E308A">
      <w:pPr>
        <w:autoSpaceDE w:val="0"/>
        <w:autoSpaceDN w:val="0"/>
        <w:adjustRightInd w:val="0"/>
        <w:spacing w:after="0" w:line="360" w:lineRule="auto"/>
        <w:ind w:left="0" w:right="-6" w:firstLine="709"/>
        <w:rPr>
          <w:rFonts w:eastAsia="Century Gothic"/>
        </w:rPr>
      </w:pPr>
      <w:r>
        <w:rPr>
          <w:rFonts w:eastAsia="Century Gothic"/>
        </w:rPr>
        <w:t>Es por ello, que</w:t>
      </w:r>
      <w:r w:rsidR="00777656">
        <w:rPr>
          <w:rFonts w:eastAsia="Century Gothic"/>
        </w:rPr>
        <w:t xml:space="preserve"> </w:t>
      </w:r>
      <w:r>
        <w:rPr>
          <w:rFonts w:eastAsia="Century Gothic"/>
        </w:rPr>
        <w:t>la iniciativa en estudio</w:t>
      </w:r>
      <w:r w:rsidR="00777656">
        <w:rPr>
          <w:rFonts w:eastAsia="Century Gothic"/>
        </w:rPr>
        <w:t xml:space="preserve"> pretende donar a la Auditoría Superior del Estado de Yucatán un bien inmueble perteneciente al patrimonio estatal, </w:t>
      </w:r>
      <w:r>
        <w:rPr>
          <w:rFonts w:eastAsia="Century Gothic"/>
        </w:rPr>
        <w:t>a fin de</w:t>
      </w:r>
      <w:r w:rsidR="00777656">
        <w:rPr>
          <w:rFonts w:eastAsia="Century Gothic"/>
        </w:rPr>
        <w:t xml:space="preserve"> que </w:t>
      </w:r>
      <w:r w:rsidR="003E308A">
        <w:rPr>
          <w:rFonts w:eastAsia="Century Gothic"/>
        </w:rPr>
        <w:t xml:space="preserve">éste </w:t>
      </w:r>
      <w:r w:rsidR="00777656">
        <w:rPr>
          <w:rFonts w:eastAsia="Century Gothic"/>
        </w:rPr>
        <w:t xml:space="preserve">sea destinado </w:t>
      </w:r>
      <w:r w:rsidR="003E308A">
        <w:rPr>
          <w:rFonts w:eastAsia="Century Gothic"/>
        </w:rPr>
        <w:t xml:space="preserve">a facilitar a </w:t>
      </w:r>
      <w:r w:rsidR="003E308A" w:rsidRPr="00B03531">
        <w:rPr>
          <w:rFonts w:eastAsia="Century Gothic"/>
        </w:rPr>
        <w:t>los entes fiscalizadores y a la ciudadanía, en general, la realización de sus gestiones en un ento</w:t>
      </w:r>
      <w:r w:rsidR="003E308A">
        <w:rPr>
          <w:rFonts w:eastAsia="Century Gothic"/>
        </w:rPr>
        <w:t xml:space="preserve">rno e instalaciones apropiadas, contribuyendo así </w:t>
      </w:r>
      <w:r w:rsidR="003E308A" w:rsidRPr="00B03531">
        <w:rPr>
          <w:rFonts w:eastAsia="Century Gothic"/>
        </w:rPr>
        <w:t>al desarrollo de los servicios públicos que presta la Auditoría Superior del Estado de Yucatán</w:t>
      </w:r>
      <w:r w:rsidR="003E308A">
        <w:rPr>
          <w:rFonts w:eastAsia="Century Gothic"/>
        </w:rPr>
        <w:t xml:space="preserve">. </w:t>
      </w:r>
      <w:r w:rsidR="008B028F">
        <w:rPr>
          <w:rFonts w:eastAsia="Century Gothic"/>
        </w:rPr>
        <w:t xml:space="preserve">Además, con esta donación se </w:t>
      </w:r>
      <w:r w:rsidR="003E308A">
        <w:rPr>
          <w:rFonts w:eastAsia="Century Gothic"/>
        </w:rPr>
        <w:t>mejorará la rendición de cuentas, transparencia y auditoría de los recursos públicos, como para la renovación y fortalecimiento de la figura del órgano auditor del Congreso del Estado.</w:t>
      </w:r>
    </w:p>
    <w:p w14:paraId="74EE852A" w14:textId="77777777" w:rsidR="003E308A" w:rsidRDefault="003E308A" w:rsidP="003E308A">
      <w:pPr>
        <w:autoSpaceDE w:val="0"/>
        <w:autoSpaceDN w:val="0"/>
        <w:adjustRightInd w:val="0"/>
        <w:spacing w:after="0" w:line="360" w:lineRule="auto"/>
        <w:ind w:left="0" w:right="-6" w:firstLine="709"/>
        <w:rPr>
          <w:rFonts w:eastAsia="Century Gothic"/>
        </w:rPr>
      </w:pPr>
    </w:p>
    <w:p w14:paraId="3B1C1310" w14:textId="7069B03C" w:rsidR="00425DA0" w:rsidRDefault="00036FBD" w:rsidP="00425DA0">
      <w:pPr>
        <w:autoSpaceDE w:val="0"/>
        <w:autoSpaceDN w:val="0"/>
        <w:adjustRightInd w:val="0"/>
        <w:spacing w:after="0" w:line="360" w:lineRule="auto"/>
        <w:ind w:left="0" w:right="-6" w:firstLine="709"/>
        <w:rPr>
          <w:rFonts w:eastAsia="Century Gothic"/>
        </w:rPr>
      </w:pPr>
      <w:r>
        <w:rPr>
          <w:rFonts w:eastAsia="Century Gothic"/>
        </w:rPr>
        <w:t>Para tal efecto</w:t>
      </w:r>
      <w:r>
        <w:t xml:space="preserve">, la Ley de Bienes del Estado de Yucatán, </w:t>
      </w:r>
      <w:r w:rsidR="003E308A">
        <w:t>al ser la norma que</w:t>
      </w:r>
      <w:r>
        <w:t xml:space="preserve"> regula el conjunto de bienes muebles e inmuebles que integran el patrimonio del estado, establece </w:t>
      </w:r>
      <w:r>
        <w:rPr>
          <w:rFonts w:eastAsia="Century Gothic"/>
        </w:rPr>
        <w:t>en</w:t>
      </w:r>
      <w:r w:rsidRPr="008D1564">
        <w:rPr>
          <w:rFonts w:eastAsia="Century Gothic"/>
        </w:rPr>
        <w:t xml:space="preserve"> los artículos </w:t>
      </w:r>
      <w:r>
        <w:rPr>
          <w:rFonts w:eastAsia="Century Gothic"/>
        </w:rPr>
        <w:t xml:space="preserve">7, fracción III; 8, fracción </w:t>
      </w:r>
      <w:r w:rsidRPr="00072D90">
        <w:rPr>
          <w:rFonts w:eastAsia="Century Gothic"/>
        </w:rPr>
        <w:t xml:space="preserve">II; 25, párrafo primero; 32, fracción V, y 44, </w:t>
      </w:r>
      <w:r w:rsidRPr="00072D90">
        <w:t xml:space="preserve">la facultad que tiene </w:t>
      </w:r>
      <w:r w:rsidRPr="00072D90">
        <w:rPr>
          <w:rFonts w:eastAsia="Century Gothic"/>
        </w:rPr>
        <w:t>el Poder Ejecutivo del Estado, de donar los bienes inmuebles de dominio privado que formen parte del Patrimonio</w:t>
      </w:r>
      <w:r w:rsidRPr="008D1564">
        <w:rPr>
          <w:rFonts w:eastAsia="Century Gothic"/>
        </w:rPr>
        <w:t xml:space="preserve"> Estatal en favor de la Federación, del Estado o de los municipios, siempre que dichos bienes se destinen a la prestación de servicios públicos, para lo cual se requerirá previamente la autorización del Congreso del Estado.</w:t>
      </w:r>
      <w:r w:rsidR="00425DA0">
        <w:rPr>
          <w:rFonts w:eastAsia="Century Gothic"/>
        </w:rPr>
        <w:t xml:space="preserve"> </w:t>
      </w:r>
    </w:p>
    <w:p w14:paraId="70F7E9ED" w14:textId="77777777" w:rsidR="00425DA0" w:rsidRDefault="00425DA0" w:rsidP="00425DA0">
      <w:pPr>
        <w:autoSpaceDE w:val="0"/>
        <w:autoSpaceDN w:val="0"/>
        <w:adjustRightInd w:val="0"/>
        <w:spacing w:after="0" w:line="360" w:lineRule="auto"/>
        <w:ind w:left="0" w:right="-6" w:firstLine="709"/>
        <w:rPr>
          <w:rFonts w:eastAsia="Century Gothic"/>
        </w:rPr>
      </w:pPr>
    </w:p>
    <w:p w14:paraId="4324ECFB" w14:textId="0F89F2A7" w:rsidR="008D1564" w:rsidRDefault="00036FBD" w:rsidP="00036FBD">
      <w:pPr>
        <w:autoSpaceDE w:val="0"/>
        <w:autoSpaceDN w:val="0"/>
        <w:adjustRightInd w:val="0"/>
        <w:spacing w:after="0" w:line="360" w:lineRule="auto"/>
        <w:ind w:left="0" w:right="-6" w:firstLine="709"/>
        <w:rPr>
          <w:rFonts w:eastAsia="Century Gothic"/>
        </w:rPr>
      </w:pPr>
      <w:r w:rsidRPr="00036FBD">
        <w:rPr>
          <w:rFonts w:eastAsia="Century Gothic"/>
        </w:rPr>
        <w:t xml:space="preserve">De acuerdo con lo anterior, las diputadas y los diputados integrantes de esta Comisión Permanente, </w:t>
      </w:r>
      <w:r>
        <w:rPr>
          <w:rFonts w:eastAsia="Century Gothic"/>
        </w:rPr>
        <w:t>hemos analizado</w:t>
      </w:r>
      <w:r w:rsidRPr="00036FBD">
        <w:rPr>
          <w:rFonts w:eastAsia="Century Gothic"/>
        </w:rPr>
        <w:t xml:space="preserve"> la viabilidad de dicha solicitud, </w:t>
      </w:r>
      <w:r>
        <w:rPr>
          <w:rFonts w:eastAsia="Century Gothic"/>
        </w:rPr>
        <w:t>por tal razón</w:t>
      </w:r>
      <w:r w:rsidRPr="00036FBD">
        <w:rPr>
          <w:rFonts w:eastAsia="Century Gothic"/>
        </w:rPr>
        <w:t xml:space="preserve">, es preciso definir el acto jurídico de donación como “un contrato por el cual una persona, llamada donante, transmite gratuitamente una parte o la totalidad de sus </w:t>
      </w:r>
      <w:r w:rsidR="009D3EEF">
        <w:rPr>
          <w:rFonts w:eastAsia="Century Gothic"/>
        </w:rPr>
        <w:t>bienes</w:t>
      </w:r>
      <w:r w:rsidRPr="00036FBD">
        <w:rPr>
          <w:rFonts w:eastAsia="Century Gothic"/>
        </w:rPr>
        <w:t xml:space="preserve"> prese</w:t>
      </w:r>
      <w:r w:rsidR="009D3EEF">
        <w:rPr>
          <w:rFonts w:eastAsia="Century Gothic"/>
        </w:rPr>
        <w:t>ntes, a otra llamada donatario”</w:t>
      </w:r>
      <w:r w:rsidRPr="00036FBD">
        <w:rPr>
          <w:rFonts w:eastAsia="Century Gothic"/>
        </w:rPr>
        <w:t>, de la definición anterior se desprende que toda donación será esencialmente gratuita, puesto que el donante no recibe contraprestación alguna de parte del donatario; sin embargo, es preciso señalar que en razón de la modalidad que se establezca la donación podrá ser pura, condicional, onerosa o remuneratoria .</w:t>
      </w:r>
    </w:p>
    <w:p w14:paraId="2A3A37B5" w14:textId="77777777" w:rsidR="00106093" w:rsidRDefault="00106093" w:rsidP="00036FBD">
      <w:pPr>
        <w:autoSpaceDE w:val="0"/>
        <w:autoSpaceDN w:val="0"/>
        <w:adjustRightInd w:val="0"/>
        <w:spacing w:after="0" w:line="360" w:lineRule="auto"/>
        <w:ind w:left="0" w:right="-6" w:firstLine="709"/>
        <w:rPr>
          <w:rFonts w:eastAsia="Century Gothic"/>
        </w:rPr>
      </w:pPr>
    </w:p>
    <w:p w14:paraId="173A14BC" w14:textId="5F8012C4" w:rsidR="00106093" w:rsidRDefault="00106093" w:rsidP="00106093">
      <w:pPr>
        <w:autoSpaceDE w:val="0"/>
        <w:autoSpaceDN w:val="0"/>
        <w:adjustRightInd w:val="0"/>
        <w:spacing w:after="0" w:line="360" w:lineRule="auto"/>
        <w:ind w:left="0" w:right="-6" w:firstLine="709"/>
      </w:pPr>
      <w:r>
        <w:rPr>
          <w:rFonts w:eastAsia="Century Gothic"/>
        </w:rPr>
        <w:t>En consecuencia, en fecha 16 de octubre de 2023, se publicó en el Diario Oficial del Estado de Yucatán, el Acuerdo 70/2023 mediante el cual se delegó en la persona titular de la Secretaría de Administración y Finanzas la facultad de emitir acuerdos par</w:t>
      </w:r>
      <w:r w:rsidR="00216E5E">
        <w:rPr>
          <w:rFonts w:eastAsia="Century Gothic"/>
        </w:rPr>
        <w:t>a</w:t>
      </w:r>
      <w:r>
        <w:rPr>
          <w:rFonts w:eastAsia="Century Gothic"/>
        </w:rPr>
        <w:t xml:space="preserve"> desincorporar </w:t>
      </w:r>
      <w:r>
        <w:t xml:space="preserve">los bienes inmuebles del dominio público cuya propiedad le corresponda a la Administración Pública centralizada, previa solicitud del Despacho del Gobernador o de la dependencia que tuviese asignado el bien inmueble a desincorporar, en términos de la legislación aplicable. </w:t>
      </w:r>
    </w:p>
    <w:p w14:paraId="17383825" w14:textId="77777777" w:rsidR="009D3EEF" w:rsidRDefault="009D3EEF" w:rsidP="00036FBD">
      <w:pPr>
        <w:autoSpaceDE w:val="0"/>
        <w:autoSpaceDN w:val="0"/>
        <w:adjustRightInd w:val="0"/>
        <w:spacing w:after="0" w:line="360" w:lineRule="auto"/>
        <w:ind w:left="0" w:right="-6" w:firstLine="709"/>
        <w:rPr>
          <w:rFonts w:eastAsia="Century Gothic"/>
        </w:rPr>
      </w:pPr>
    </w:p>
    <w:p w14:paraId="62CE9724" w14:textId="79EA058E" w:rsidR="009D3EEF" w:rsidRDefault="009D3EEF" w:rsidP="00036FBD">
      <w:pPr>
        <w:autoSpaceDE w:val="0"/>
        <w:autoSpaceDN w:val="0"/>
        <w:adjustRightInd w:val="0"/>
        <w:spacing w:after="0" w:line="360" w:lineRule="auto"/>
        <w:ind w:left="0" w:right="-6" w:firstLine="709"/>
        <w:rPr>
          <w:rFonts w:eastAsia="Century Gothic"/>
        </w:rPr>
      </w:pPr>
      <w:r>
        <w:rPr>
          <w:rFonts w:eastAsia="Century Gothic"/>
        </w:rPr>
        <w:t xml:space="preserve">Ahora bien, como antecedente, es menester señalar que el bien inmueble objeto de la donación en análisis, </w:t>
      </w:r>
      <w:r w:rsidR="003853DB">
        <w:rPr>
          <w:rFonts w:eastAsia="Century Gothic"/>
        </w:rPr>
        <w:t xml:space="preserve">es decir, el predio urbano número 460 de la calle 64 de la colonia Renacimiento de la localidad y municipio de Mérida, Yucatán, </w:t>
      </w:r>
      <w:r>
        <w:rPr>
          <w:rFonts w:eastAsia="Century Gothic"/>
        </w:rPr>
        <w:t xml:space="preserve">fue adquirido por el Gobierno del Estado de Yucatán, mediante donación </w:t>
      </w:r>
      <w:r w:rsidR="003853DB">
        <w:rPr>
          <w:rFonts w:eastAsia="Century Gothic"/>
        </w:rPr>
        <w:t xml:space="preserve">otorgada en escritura pública número 1842 de fecha 1 de noviembre de 2016, pasada ante la fe del licenciado Manuel Emilio García Ferrón, en ese entonces titular de la notaría número ochenta y nueva, con sede en el municipio de </w:t>
      </w:r>
      <w:proofErr w:type="spellStart"/>
      <w:r w:rsidR="003853DB">
        <w:rPr>
          <w:rFonts w:eastAsia="Century Gothic"/>
        </w:rPr>
        <w:t>Kanasín</w:t>
      </w:r>
      <w:proofErr w:type="spellEnd"/>
      <w:r w:rsidR="003853DB">
        <w:rPr>
          <w:rFonts w:eastAsia="Century Gothic"/>
        </w:rPr>
        <w:t>. Dicho instrumento obra inscrito en el Registro Público de la Propiedad y del Comercio del Instituto de Seguridad Jurídica Patrimonial de Yucatán, bajo el número 2090933 y con el folio electrónico 1192938.</w:t>
      </w:r>
    </w:p>
    <w:p w14:paraId="21E407C8" w14:textId="77777777" w:rsidR="003853DB" w:rsidRDefault="003853DB" w:rsidP="00036FBD">
      <w:pPr>
        <w:autoSpaceDE w:val="0"/>
        <w:autoSpaceDN w:val="0"/>
        <w:adjustRightInd w:val="0"/>
        <w:spacing w:after="0" w:line="360" w:lineRule="auto"/>
        <w:ind w:left="0" w:right="-6" w:firstLine="709"/>
        <w:rPr>
          <w:rFonts w:eastAsia="Century Gothic"/>
        </w:rPr>
      </w:pPr>
    </w:p>
    <w:p w14:paraId="485FEAF5" w14:textId="638141E7" w:rsidR="00777656" w:rsidRDefault="003853DB" w:rsidP="00106093">
      <w:pPr>
        <w:autoSpaceDE w:val="0"/>
        <w:autoSpaceDN w:val="0"/>
        <w:adjustRightInd w:val="0"/>
        <w:spacing w:after="0" w:line="360" w:lineRule="auto"/>
        <w:ind w:left="0" w:right="-6" w:firstLine="709"/>
        <w:rPr>
          <w:rFonts w:eastAsia="Century Gothic"/>
        </w:rPr>
      </w:pPr>
      <w:r>
        <w:rPr>
          <w:rFonts w:eastAsia="Century Gothic"/>
        </w:rPr>
        <w:t xml:space="preserve">Posteriormente, </w:t>
      </w:r>
      <w:r w:rsidR="00106093">
        <w:rPr>
          <w:rFonts w:eastAsia="Century Gothic"/>
        </w:rPr>
        <w:t xml:space="preserve">en fecha 1 de julio de 2019, se ordenó la Rectificación de Inscripción o Anotación de Propiedad del predio referido, mediante la cual dejó de ser parte de los límites del municipio de </w:t>
      </w:r>
      <w:proofErr w:type="spellStart"/>
      <w:r w:rsidR="00106093">
        <w:rPr>
          <w:rFonts w:eastAsia="Century Gothic"/>
        </w:rPr>
        <w:t>Kanasín</w:t>
      </w:r>
      <w:proofErr w:type="spellEnd"/>
      <w:r w:rsidR="00106093">
        <w:rPr>
          <w:rFonts w:eastAsia="Century Gothic"/>
        </w:rPr>
        <w:t xml:space="preserve"> para pasar a ser parte del municipio de Mérida. Lo anterior, </w:t>
      </w:r>
      <w:r>
        <w:rPr>
          <w:rFonts w:eastAsia="Century Gothic"/>
        </w:rPr>
        <w:t xml:space="preserve">en atención al oficio </w:t>
      </w:r>
      <w:r w:rsidR="00106093">
        <w:rPr>
          <w:rFonts w:eastAsia="Century Gothic"/>
        </w:rPr>
        <w:t xml:space="preserve">MKY/CGSJP/DC/001209/2019 de fecha 17 de junio de 2019 emitido por el Director del Catastro del Municipio de </w:t>
      </w:r>
      <w:proofErr w:type="spellStart"/>
      <w:r w:rsidR="00106093">
        <w:rPr>
          <w:rFonts w:eastAsia="Century Gothic"/>
        </w:rPr>
        <w:t>Kanasín</w:t>
      </w:r>
      <w:proofErr w:type="spellEnd"/>
      <w:r w:rsidR="00106093">
        <w:rPr>
          <w:rFonts w:eastAsia="Century Gothic"/>
        </w:rPr>
        <w:t>.</w:t>
      </w:r>
    </w:p>
    <w:p w14:paraId="74D4CCC4" w14:textId="77777777" w:rsidR="006C3A87" w:rsidRDefault="006C3A87" w:rsidP="00106093">
      <w:pPr>
        <w:autoSpaceDE w:val="0"/>
        <w:autoSpaceDN w:val="0"/>
        <w:adjustRightInd w:val="0"/>
        <w:spacing w:after="0" w:line="360" w:lineRule="auto"/>
        <w:ind w:left="0" w:right="-6" w:firstLine="709"/>
        <w:rPr>
          <w:rFonts w:eastAsia="Century Gothic"/>
        </w:rPr>
      </w:pPr>
    </w:p>
    <w:p w14:paraId="22C0635B" w14:textId="76DA9110" w:rsidR="006C3A87" w:rsidRDefault="006C3A87" w:rsidP="00106093">
      <w:pPr>
        <w:autoSpaceDE w:val="0"/>
        <w:autoSpaceDN w:val="0"/>
        <w:adjustRightInd w:val="0"/>
        <w:spacing w:after="0" w:line="360" w:lineRule="auto"/>
        <w:ind w:left="0" w:right="-6" w:firstLine="709"/>
        <w:rPr>
          <w:rFonts w:eastAsia="Century Gothic"/>
        </w:rPr>
      </w:pPr>
      <w:r>
        <w:rPr>
          <w:rFonts w:eastAsia="Century Gothic"/>
        </w:rPr>
        <w:t xml:space="preserve">Es así que, el 10 de abril del año en curso, el Gobierno del Estado de Yucatán, por conducto de la Secretaría de Administración y Finanzas, y la Auditoría Superior del Estado, </w:t>
      </w:r>
      <w:proofErr w:type="gramStart"/>
      <w:r>
        <w:rPr>
          <w:rFonts w:eastAsia="Century Gothic"/>
        </w:rPr>
        <w:t>celebraron</w:t>
      </w:r>
      <w:proofErr w:type="gramEnd"/>
      <w:r>
        <w:rPr>
          <w:rFonts w:eastAsia="Century Gothic"/>
        </w:rPr>
        <w:t xml:space="preserve"> los Acuerdos de Afectación de Uso No. SAF/BI.039/2024 y SAF/BI.040/2024, respecto de dos fracciones del bien inmueble mencionado, para destinarlos al uso de oficinas, caseta y estacionamiento, respectivamente.</w:t>
      </w:r>
    </w:p>
    <w:p w14:paraId="3E0625C2" w14:textId="77777777" w:rsidR="006C3A87" w:rsidRDefault="006C3A87" w:rsidP="00106093">
      <w:pPr>
        <w:autoSpaceDE w:val="0"/>
        <w:autoSpaceDN w:val="0"/>
        <w:adjustRightInd w:val="0"/>
        <w:spacing w:after="0" w:line="360" w:lineRule="auto"/>
        <w:ind w:left="0" w:right="-6" w:firstLine="709"/>
        <w:rPr>
          <w:rFonts w:eastAsia="Century Gothic"/>
        </w:rPr>
      </w:pPr>
    </w:p>
    <w:p w14:paraId="0A011848" w14:textId="67F13EE4" w:rsidR="006C3A87" w:rsidRDefault="006C3A87" w:rsidP="00106093">
      <w:pPr>
        <w:autoSpaceDE w:val="0"/>
        <w:autoSpaceDN w:val="0"/>
        <w:adjustRightInd w:val="0"/>
        <w:spacing w:after="0" w:line="360" w:lineRule="auto"/>
        <w:ind w:left="0" w:right="-6" w:firstLine="709"/>
        <w:rPr>
          <w:rFonts w:eastAsia="Century Gothic"/>
        </w:rPr>
      </w:pPr>
      <w:r>
        <w:rPr>
          <w:rFonts w:eastAsia="Century Gothic"/>
        </w:rPr>
        <w:t xml:space="preserve">En tal razón, </w:t>
      </w:r>
      <w:r w:rsidR="00591868">
        <w:rPr>
          <w:rFonts w:eastAsia="Century Gothic"/>
        </w:rPr>
        <w:t xml:space="preserve">mediante oficio DAS/01/1704/2024 de fecha 17 de abril de 2024, </w:t>
      </w:r>
      <w:r>
        <w:rPr>
          <w:rFonts w:eastAsia="Century Gothic"/>
        </w:rPr>
        <w:t xml:space="preserve">el titular de la Auditoría Superior del </w:t>
      </w:r>
      <w:r w:rsidR="00591868">
        <w:rPr>
          <w:rFonts w:eastAsia="Century Gothic"/>
        </w:rPr>
        <w:t xml:space="preserve">Estado solicitó al Gobernador del Estado de Yucatán, la donación </w:t>
      </w:r>
      <w:r w:rsidR="00715532">
        <w:rPr>
          <w:rFonts w:eastAsia="Century Gothic"/>
        </w:rPr>
        <w:t>de la superficie de 9,039.08</w:t>
      </w:r>
      <w:r w:rsidR="006147C1">
        <w:rPr>
          <w:rFonts w:eastAsia="Century Gothic"/>
        </w:rPr>
        <w:t xml:space="preserve"> m</w:t>
      </w:r>
      <w:r w:rsidR="006147C1" w:rsidRPr="006147C1">
        <w:rPr>
          <w:rFonts w:eastAsia="Century Gothic"/>
          <w:vertAlign w:val="superscript"/>
        </w:rPr>
        <w:t>2</w:t>
      </w:r>
      <w:r w:rsidR="006147C1">
        <w:rPr>
          <w:rFonts w:eastAsia="Century Gothic"/>
        </w:rPr>
        <w:t>, con un área de construcción de 3,023.03 m</w:t>
      </w:r>
      <w:r w:rsidR="006147C1" w:rsidRPr="006147C1">
        <w:rPr>
          <w:rFonts w:eastAsia="Century Gothic"/>
          <w:vertAlign w:val="superscript"/>
        </w:rPr>
        <w:t>2</w:t>
      </w:r>
      <w:r w:rsidR="006147C1">
        <w:rPr>
          <w:rFonts w:eastAsia="Century Gothic"/>
        </w:rPr>
        <w:t>, ubicada dentro del predio en cita, es decir, del bien inmueble que será destinado para la sede de las oficinas de la Auditoría Superior del Estado de Yucatán.</w:t>
      </w:r>
    </w:p>
    <w:p w14:paraId="0D2D8D93" w14:textId="77777777" w:rsidR="00C866A8" w:rsidRDefault="00C866A8" w:rsidP="00106093">
      <w:pPr>
        <w:autoSpaceDE w:val="0"/>
        <w:autoSpaceDN w:val="0"/>
        <w:adjustRightInd w:val="0"/>
        <w:spacing w:after="0" w:line="360" w:lineRule="auto"/>
        <w:ind w:left="0" w:right="-6" w:firstLine="709"/>
        <w:rPr>
          <w:rFonts w:eastAsia="Century Gothic"/>
        </w:rPr>
      </w:pPr>
    </w:p>
    <w:p w14:paraId="279CF873" w14:textId="156EF6EF" w:rsidR="00C866A8" w:rsidRDefault="0068102F" w:rsidP="00106093">
      <w:pPr>
        <w:autoSpaceDE w:val="0"/>
        <w:autoSpaceDN w:val="0"/>
        <w:adjustRightInd w:val="0"/>
        <w:spacing w:after="0" w:line="360" w:lineRule="auto"/>
        <w:ind w:left="0" w:right="-6" w:firstLine="709"/>
        <w:rPr>
          <w:rFonts w:eastAsia="Century Gothic"/>
        </w:rPr>
      </w:pPr>
      <w:r>
        <w:rPr>
          <w:rFonts w:eastAsia="Century Gothic"/>
        </w:rPr>
        <w:t xml:space="preserve">Derivado </w:t>
      </w:r>
      <w:r w:rsidR="00BE42EF">
        <w:rPr>
          <w:rFonts w:eastAsia="Century Gothic"/>
        </w:rPr>
        <w:t>de la solicitud referida</w:t>
      </w:r>
      <w:r>
        <w:rPr>
          <w:rFonts w:eastAsia="Century Gothic"/>
        </w:rPr>
        <w:t xml:space="preserve">, en fecha 27 de junio de 2024, mediante escritura pública número 737, pasada ante la fe del abogado Hugo </w:t>
      </w:r>
      <w:proofErr w:type="spellStart"/>
      <w:r>
        <w:rPr>
          <w:rFonts w:eastAsia="Century Gothic"/>
        </w:rPr>
        <w:t>Wilbert</w:t>
      </w:r>
      <w:proofErr w:type="spellEnd"/>
      <w:r>
        <w:rPr>
          <w:rFonts w:eastAsia="Century Gothic"/>
        </w:rPr>
        <w:t xml:space="preserve"> </w:t>
      </w:r>
      <w:proofErr w:type="spellStart"/>
      <w:r>
        <w:rPr>
          <w:rFonts w:eastAsia="Century Gothic"/>
        </w:rPr>
        <w:t>Evia</w:t>
      </w:r>
      <w:proofErr w:type="spellEnd"/>
      <w:r>
        <w:rPr>
          <w:rFonts w:eastAsia="Century Gothic"/>
        </w:rPr>
        <w:t xml:space="preserve"> </w:t>
      </w:r>
      <w:proofErr w:type="spellStart"/>
      <w:r>
        <w:rPr>
          <w:rFonts w:eastAsia="Century Gothic"/>
        </w:rPr>
        <w:t>Bolio</w:t>
      </w:r>
      <w:proofErr w:type="spellEnd"/>
      <w:r>
        <w:rPr>
          <w:rFonts w:eastAsia="Century Gothic"/>
        </w:rPr>
        <w:t xml:space="preserve">, titular de la notaría pública número 69 del municipio de Mérida, se otorgó </w:t>
      </w:r>
      <w:r w:rsidR="00BE42EF">
        <w:rPr>
          <w:rFonts w:eastAsia="Century Gothic"/>
        </w:rPr>
        <w:t xml:space="preserve">en primera instancia el cambio de nomenclatura del predio marcado con el número 460 de la calle 64 de la colonia Renacimiento, para pasar a ser el predio marcado con el número 467 de la calle 62 de la colonia Mil Piedras, de la localidad y municipio de Mérida. Asimismo, en dicha escritura se otorgó la división en dos partes del predio urbano en cuestión, </w:t>
      </w:r>
      <w:r w:rsidR="00082DFB">
        <w:rPr>
          <w:rFonts w:eastAsia="Century Gothic"/>
        </w:rPr>
        <w:t xml:space="preserve">obteniendo dos fracciones resultantes: </w:t>
      </w:r>
    </w:p>
    <w:p w14:paraId="58769502" w14:textId="77777777" w:rsidR="00082DFB" w:rsidRDefault="00082DFB" w:rsidP="00082DFB">
      <w:pPr>
        <w:autoSpaceDE w:val="0"/>
        <w:autoSpaceDN w:val="0"/>
        <w:adjustRightInd w:val="0"/>
        <w:spacing w:after="0" w:line="240" w:lineRule="auto"/>
        <w:ind w:left="0" w:right="-6" w:firstLine="709"/>
        <w:rPr>
          <w:rFonts w:eastAsia="Century Gothic"/>
        </w:rPr>
      </w:pPr>
    </w:p>
    <w:p w14:paraId="5D03FE66" w14:textId="2399204E" w:rsidR="00082DFB" w:rsidRDefault="00082DFB" w:rsidP="00082DFB">
      <w:pPr>
        <w:pStyle w:val="Prrafodelista"/>
        <w:numPr>
          <w:ilvl w:val="0"/>
          <w:numId w:val="15"/>
        </w:numPr>
        <w:autoSpaceDE w:val="0"/>
        <w:autoSpaceDN w:val="0"/>
        <w:adjustRightInd w:val="0"/>
        <w:spacing w:after="0" w:line="276" w:lineRule="auto"/>
        <w:ind w:right="-6"/>
        <w:jc w:val="both"/>
        <w:rPr>
          <w:rFonts w:ascii="Arial" w:eastAsia="Century Gothic" w:hAnsi="Arial" w:cs="Arial"/>
          <w:color w:val="000000"/>
          <w:sz w:val="24"/>
          <w:lang w:eastAsia="es-MX"/>
        </w:rPr>
      </w:pPr>
      <w:r w:rsidRPr="00082DFB">
        <w:rPr>
          <w:rFonts w:ascii="Arial" w:eastAsia="Century Gothic" w:hAnsi="Arial" w:cs="Arial"/>
          <w:color w:val="000000"/>
          <w:sz w:val="24"/>
          <w:u w:val="single"/>
          <w:lang w:eastAsia="es-MX"/>
        </w:rPr>
        <w:t>Fracción uno:</w:t>
      </w:r>
      <w:r>
        <w:rPr>
          <w:rFonts w:ascii="Arial" w:eastAsia="Century Gothic" w:hAnsi="Arial" w:cs="Arial"/>
          <w:color w:val="000000"/>
          <w:sz w:val="24"/>
          <w:lang w:eastAsia="es-MX"/>
        </w:rPr>
        <w:t xml:space="preserve"> predio marcado con el número 467 de la calle 62 de la colonia Mil Piedras, de la localidad y municipio de Mérida, Yucatán, ubicado en la sección catastral veintiuno, manzana cero doscientos cincuenta y cuatro, con una superficie de 9,039.08 m</w:t>
      </w:r>
      <w:r w:rsidRPr="00082DFB">
        <w:rPr>
          <w:rFonts w:ascii="Arial" w:eastAsia="Century Gothic" w:hAnsi="Arial" w:cs="Arial"/>
          <w:color w:val="000000"/>
          <w:sz w:val="24"/>
          <w:vertAlign w:val="superscript"/>
          <w:lang w:eastAsia="es-MX"/>
        </w:rPr>
        <w:t>2</w:t>
      </w:r>
      <w:r>
        <w:rPr>
          <w:rFonts w:ascii="Arial" w:eastAsia="Century Gothic" w:hAnsi="Arial" w:cs="Arial"/>
          <w:color w:val="000000"/>
          <w:sz w:val="24"/>
          <w:lang w:eastAsia="es-MX"/>
        </w:rPr>
        <w:t>, mismo que se encuentra identificado con el folio electrónico 1192938.</w:t>
      </w:r>
    </w:p>
    <w:p w14:paraId="12ECB0D5" w14:textId="77777777" w:rsidR="00082DFB" w:rsidRDefault="00082DFB" w:rsidP="00082DFB">
      <w:pPr>
        <w:pStyle w:val="Prrafodelista"/>
        <w:autoSpaceDE w:val="0"/>
        <w:autoSpaceDN w:val="0"/>
        <w:adjustRightInd w:val="0"/>
        <w:spacing w:after="0" w:line="276" w:lineRule="auto"/>
        <w:ind w:left="1069" w:right="-6"/>
        <w:jc w:val="both"/>
        <w:rPr>
          <w:rFonts w:ascii="Arial" w:eastAsia="Century Gothic" w:hAnsi="Arial" w:cs="Arial"/>
          <w:color w:val="000000"/>
          <w:sz w:val="24"/>
          <w:lang w:eastAsia="es-MX"/>
        </w:rPr>
      </w:pPr>
    </w:p>
    <w:p w14:paraId="285A9EE7" w14:textId="15F7A4B6" w:rsidR="00082DFB" w:rsidRPr="00082DFB" w:rsidRDefault="00082DFB" w:rsidP="00082DFB">
      <w:pPr>
        <w:pStyle w:val="Prrafodelista"/>
        <w:numPr>
          <w:ilvl w:val="0"/>
          <w:numId w:val="15"/>
        </w:numPr>
        <w:autoSpaceDE w:val="0"/>
        <w:autoSpaceDN w:val="0"/>
        <w:adjustRightInd w:val="0"/>
        <w:spacing w:after="0" w:line="276" w:lineRule="auto"/>
        <w:ind w:right="-6"/>
        <w:jc w:val="both"/>
        <w:rPr>
          <w:rFonts w:ascii="Arial" w:eastAsia="Century Gothic" w:hAnsi="Arial" w:cs="Arial"/>
          <w:color w:val="000000"/>
          <w:sz w:val="24"/>
          <w:lang w:eastAsia="es-MX"/>
        </w:rPr>
      </w:pPr>
      <w:r w:rsidRPr="00082DFB">
        <w:rPr>
          <w:rFonts w:ascii="Arial" w:eastAsia="Century Gothic" w:hAnsi="Arial" w:cs="Arial"/>
          <w:color w:val="000000"/>
          <w:sz w:val="24"/>
          <w:u w:val="single"/>
          <w:lang w:eastAsia="es-MX"/>
        </w:rPr>
        <w:t xml:space="preserve">Fracción </w:t>
      </w:r>
      <w:r>
        <w:rPr>
          <w:rFonts w:ascii="Arial" w:eastAsia="Century Gothic" w:hAnsi="Arial" w:cs="Arial"/>
          <w:color w:val="000000"/>
          <w:sz w:val="24"/>
          <w:u w:val="single"/>
          <w:lang w:eastAsia="es-MX"/>
        </w:rPr>
        <w:t>dos</w:t>
      </w:r>
      <w:r w:rsidRPr="00082DFB">
        <w:rPr>
          <w:rFonts w:ascii="Arial" w:eastAsia="Century Gothic" w:hAnsi="Arial" w:cs="Arial"/>
          <w:color w:val="000000"/>
          <w:sz w:val="24"/>
          <w:u w:val="single"/>
          <w:lang w:eastAsia="es-MX"/>
        </w:rPr>
        <w:t>:</w:t>
      </w:r>
      <w:r>
        <w:rPr>
          <w:rFonts w:ascii="Arial" w:eastAsia="Century Gothic" w:hAnsi="Arial" w:cs="Arial"/>
          <w:color w:val="000000"/>
          <w:sz w:val="24"/>
          <w:lang w:eastAsia="es-MX"/>
        </w:rPr>
        <w:t xml:space="preserve"> predio marcado con el número 469 de la calle 62 de la colonia Mil Piedras, de la localidad y municipio de Mérida, Yucatán, ubicado en la sección catastral veintiuno, manzana cero doscientos cincuenta y cuatro, con una superficie de 15,960.92 m</w:t>
      </w:r>
      <w:r w:rsidRPr="00082DFB">
        <w:rPr>
          <w:rFonts w:ascii="Arial" w:eastAsia="Century Gothic" w:hAnsi="Arial" w:cs="Arial"/>
          <w:color w:val="000000"/>
          <w:sz w:val="24"/>
          <w:vertAlign w:val="superscript"/>
          <w:lang w:eastAsia="es-MX"/>
        </w:rPr>
        <w:t>2</w:t>
      </w:r>
      <w:r>
        <w:rPr>
          <w:rFonts w:ascii="Arial" w:eastAsia="Century Gothic" w:hAnsi="Arial" w:cs="Arial"/>
          <w:color w:val="000000"/>
          <w:sz w:val="24"/>
          <w:lang w:eastAsia="es-MX"/>
        </w:rPr>
        <w:t>, mismo que se encuentra identificado con el folio electrónico 1639564.</w:t>
      </w:r>
    </w:p>
    <w:p w14:paraId="5DD78C2B" w14:textId="77777777" w:rsidR="009A68E2" w:rsidRDefault="009A68E2" w:rsidP="00777656">
      <w:pPr>
        <w:autoSpaceDE w:val="0"/>
        <w:autoSpaceDN w:val="0"/>
        <w:adjustRightInd w:val="0"/>
        <w:spacing w:after="0" w:line="360" w:lineRule="auto"/>
        <w:ind w:left="0" w:right="-6" w:firstLine="709"/>
      </w:pPr>
    </w:p>
    <w:p w14:paraId="1C15F78C" w14:textId="476166E2" w:rsidR="00425DA0" w:rsidRDefault="009A68E2" w:rsidP="00082DFB">
      <w:pPr>
        <w:autoSpaceDE w:val="0"/>
        <w:autoSpaceDN w:val="0"/>
        <w:adjustRightInd w:val="0"/>
        <w:spacing w:after="0" w:line="360" w:lineRule="auto"/>
        <w:ind w:left="0" w:right="-6" w:firstLine="709"/>
      </w:pPr>
      <w:r>
        <w:t xml:space="preserve">Como resultado de ello, y en atención a la información vertida en este documento legislativo, </w:t>
      </w:r>
      <w:r w:rsidR="00777EA0">
        <w:t>se tiene a bien precisar</w:t>
      </w:r>
      <w:r>
        <w:t xml:space="preserve"> inmueble </w:t>
      </w:r>
      <w:r w:rsidR="00082DFB">
        <w:t>objeto de esta iniciativa es la fracción uno, es decir el predio número 467 de la calle 62 de la colonia Mil Piedras, el cual, posterior a la división descrita, quedó identificado de esta manera. Tambi</w:t>
      </w:r>
      <w:r w:rsidR="00777EA0">
        <w:t>én es importante señalar que el predio urbano que se</w:t>
      </w:r>
      <w:r>
        <w:t xml:space="preserve"> pretende donar es de dominio privado, toda vez que </w:t>
      </w:r>
      <w:r w:rsidR="004271F5">
        <w:t xml:space="preserve">mediante el Acuerdo SAF 97/2024, publicado el 8 de agosto de 2024 en el </w:t>
      </w:r>
      <w:r w:rsidR="004271F5" w:rsidRPr="009A68E2">
        <w:t xml:space="preserve">Diario Oficial del Gobierno del Estado de </w:t>
      </w:r>
      <w:r w:rsidR="004271F5">
        <w:t xml:space="preserve">Yucatán, se declaró </w:t>
      </w:r>
      <w:r w:rsidR="004271F5" w:rsidRPr="009A68E2">
        <w:t>desincorporado</w:t>
      </w:r>
      <w:r w:rsidR="004271F5">
        <w:t xml:space="preserve"> del Gobierno del Estado de Yucatán</w:t>
      </w:r>
      <w:r w:rsidR="004271F5" w:rsidRPr="009A68E2">
        <w:t>, por no ser útil para la prestación de un servicio público correspondiente a la Administración Pública centralizada</w:t>
      </w:r>
      <w:r w:rsidR="00777EA0">
        <w:t>.</w:t>
      </w:r>
    </w:p>
    <w:p w14:paraId="183B648C" w14:textId="77777777" w:rsidR="007A7F1C" w:rsidRDefault="007A7F1C" w:rsidP="007A7F1C">
      <w:pPr>
        <w:autoSpaceDE w:val="0"/>
        <w:autoSpaceDN w:val="0"/>
        <w:adjustRightInd w:val="0"/>
        <w:spacing w:after="0" w:line="360" w:lineRule="auto"/>
        <w:ind w:left="0" w:right="-6" w:firstLine="0"/>
      </w:pPr>
    </w:p>
    <w:p w14:paraId="3B74722B" w14:textId="79612E15" w:rsidR="007A7F1C" w:rsidRDefault="009C57D4" w:rsidP="007A7F1C">
      <w:pPr>
        <w:autoSpaceDE w:val="0"/>
        <w:autoSpaceDN w:val="0"/>
        <w:adjustRightInd w:val="0"/>
        <w:spacing w:after="0" w:line="360" w:lineRule="auto"/>
        <w:ind w:left="0" w:right="-6" w:firstLine="0"/>
      </w:pPr>
      <w:r w:rsidRPr="00A56916">
        <w:rPr>
          <w:rFonts w:eastAsia="Times New Roman"/>
          <w:b/>
          <w:color w:val="auto"/>
          <w:szCs w:val="24"/>
          <w:lang w:val="es-ES" w:eastAsia="es-ES"/>
        </w:rPr>
        <w:t>QUINTA</w:t>
      </w:r>
      <w:r w:rsidR="00DB72B7" w:rsidRPr="00A56916">
        <w:rPr>
          <w:rFonts w:eastAsia="Times New Roman"/>
          <w:b/>
          <w:color w:val="auto"/>
          <w:szCs w:val="24"/>
          <w:lang w:val="es-ES" w:eastAsia="es-ES"/>
        </w:rPr>
        <w:t xml:space="preserve">. </w:t>
      </w:r>
      <w:r w:rsidR="007A7F1C" w:rsidRPr="00A56916">
        <w:t>En</w:t>
      </w:r>
      <w:r w:rsidR="007A7F1C">
        <w:t xml:space="preserve"> síntesis, con la finalidad de atender la solicitud de donación efectuada por la Auditoría Superior del Estado de Yucat</w:t>
      </w:r>
      <w:r w:rsidR="00F65A27">
        <w:t>án y,</w:t>
      </w:r>
      <w:r w:rsidR="007A7F1C">
        <w:t xml:space="preserve"> despu</w:t>
      </w:r>
      <w:r w:rsidR="00F65A27">
        <w:t xml:space="preserve">és de haber analizado exhaustivamente </w:t>
      </w:r>
      <w:r w:rsidR="007A7F1C">
        <w:t xml:space="preserve">la información plasmada en el presente dictamen, quienes integramos esta Comisión Permanente </w:t>
      </w:r>
      <w:r w:rsidR="00F65A27">
        <w:t>determinamos</w:t>
      </w:r>
      <w:r w:rsidR="007A7F1C">
        <w:t xml:space="preserve"> que resulta conveniente donar en su favor el bien inmueble referido, toda vez que de esta manera se estará contribuyendo a garantizar el desempeño de sus funciones como entidad fiscalizadora, así como</w:t>
      </w:r>
      <w:r w:rsidR="007A7F1C" w:rsidRPr="007A7F1C">
        <w:t xml:space="preserve"> </w:t>
      </w:r>
      <w:r w:rsidR="007A7F1C">
        <w:t xml:space="preserve">a mejorar la calidad de la atención que proporciona. </w:t>
      </w:r>
    </w:p>
    <w:p w14:paraId="7F2E4BD3" w14:textId="77777777" w:rsidR="007A7F1C" w:rsidRDefault="007A7F1C" w:rsidP="007A7F1C">
      <w:pPr>
        <w:autoSpaceDE w:val="0"/>
        <w:autoSpaceDN w:val="0"/>
        <w:adjustRightInd w:val="0"/>
        <w:spacing w:after="0" w:line="360" w:lineRule="auto"/>
        <w:ind w:left="0" w:right="-6" w:firstLine="709"/>
      </w:pPr>
    </w:p>
    <w:p w14:paraId="2DDE3ACE" w14:textId="5C7A55D5" w:rsidR="00DB72B7" w:rsidRPr="00F65A27" w:rsidRDefault="007A7F1C" w:rsidP="007A7F1C">
      <w:pPr>
        <w:autoSpaceDE w:val="0"/>
        <w:autoSpaceDN w:val="0"/>
        <w:adjustRightInd w:val="0"/>
        <w:spacing w:after="0" w:line="360" w:lineRule="auto"/>
        <w:ind w:left="0" w:right="-6" w:firstLine="709"/>
      </w:pPr>
      <w:r w:rsidRPr="00F65A27">
        <w:rPr>
          <w:rFonts w:eastAsia="Times New Roman"/>
          <w:color w:val="auto"/>
          <w:szCs w:val="24"/>
          <w:lang w:val="es-ES" w:eastAsia="es-ES"/>
        </w:rPr>
        <w:t>Por ende</w:t>
      </w:r>
      <w:r w:rsidR="00DB72B7" w:rsidRPr="00F65A27">
        <w:rPr>
          <w:rFonts w:eastAsia="Times New Roman"/>
          <w:color w:val="auto"/>
          <w:szCs w:val="24"/>
          <w:lang w:val="es-ES" w:eastAsia="es-ES"/>
        </w:rPr>
        <w:t xml:space="preserve">, las y los diputados integrantes de esta Comisión Permanente de Presupuesto, Patrimonio Estatal y Municipal, estimamos que la iniciativa de </w:t>
      </w:r>
      <w:r w:rsidR="00DB72B7" w:rsidRPr="00F65A27">
        <w:rPr>
          <w:color w:val="auto"/>
          <w:szCs w:val="24"/>
        </w:rPr>
        <w:t xml:space="preserve">Decreto por el que se autoriza la donación de un bien inmueble del patrimonio estatal a favor de la </w:t>
      </w:r>
      <w:r w:rsidRPr="00F65A27">
        <w:rPr>
          <w:rFonts w:eastAsia="Century Gothic"/>
        </w:rPr>
        <w:t xml:space="preserve">Auditoría Superior </w:t>
      </w:r>
      <w:r w:rsidR="00DB72B7" w:rsidRPr="00F65A27">
        <w:rPr>
          <w:rFonts w:eastAsia="Century Gothic"/>
        </w:rPr>
        <w:t>del Estado de Yucatán</w:t>
      </w:r>
      <w:r w:rsidR="00DB72B7" w:rsidRPr="00F65A27">
        <w:rPr>
          <w:rFonts w:eastAsia="Times New Roman"/>
          <w:color w:val="auto"/>
          <w:szCs w:val="24"/>
          <w:lang w:val="es-ES" w:eastAsia="es-ES"/>
        </w:rPr>
        <w:t xml:space="preserve">, reviste y cumple con todos los requisitos legales previstos para tal acto, por lo tanto, consideramos que debe ser aprobada por los argumentos antes expresados.  </w:t>
      </w:r>
    </w:p>
    <w:p w14:paraId="4182AB81" w14:textId="77777777" w:rsidR="00DB72B7" w:rsidRPr="00F65A27" w:rsidRDefault="00DB72B7" w:rsidP="00DB72B7">
      <w:pPr>
        <w:autoSpaceDE w:val="0"/>
        <w:autoSpaceDN w:val="0"/>
        <w:adjustRightInd w:val="0"/>
        <w:spacing w:after="0" w:line="360" w:lineRule="auto"/>
        <w:ind w:left="0" w:firstLine="708"/>
        <w:rPr>
          <w:color w:val="auto"/>
        </w:rPr>
      </w:pPr>
    </w:p>
    <w:p w14:paraId="4CFA5652" w14:textId="77777777" w:rsidR="00DB72B7" w:rsidRPr="00A07889" w:rsidRDefault="00DB72B7" w:rsidP="00DB72B7">
      <w:pPr>
        <w:autoSpaceDE w:val="0"/>
        <w:autoSpaceDN w:val="0"/>
        <w:adjustRightInd w:val="0"/>
        <w:spacing w:after="0" w:line="360" w:lineRule="auto"/>
        <w:ind w:left="0" w:firstLine="708"/>
        <w:rPr>
          <w:color w:val="auto"/>
        </w:rPr>
      </w:pPr>
      <w:r w:rsidRPr="00F65A27">
        <w:rPr>
          <w:color w:val="auto"/>
        </w:rPr>
        <w:t>En tal virtud, con fundamento en los artículos 30, fracción V de la Constitución Política, 43 fracción IV inciso d),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A1D145F" w14:textId="77777777" w:rsidR="00F663D1" w:rsidRDefault="00F663D1" w:rsidP="00DE3D6F">
      <w:pPr>
        <w:autoSpaceDE w:val="0"/>
        <w:autoSpaceDN w:val="0"/>
        <w:adjustRightInd w:val="0"/>
        <w:spacing w:after="0" w:line="360" w:lineRule="auto"/>
        <w:ind w:left="0" w:right="-6" w:firstLine="0"/>
        <w:rPr>
          <w:rFonts w:eastAsia="Times New Roman"/>
          <w:color w:val="auto"/>
          <w:szCs w:val="24"/>
          <w:lang w:val="es-ES" w:eastAsia="es-ES"/>
        </w:rPr>
      </w:pPr>
    </w:p>
    <w:p w14:paraId="24FF55F2" w14:textId="04C08C41" w:rsidR="00482CC1" w:rsidRPr="00F37773" w:rsidRDefault="00194B60" w:rsidP="007E09F7">
      <w:pPr>
        <w:pStyle w:val="Textoindependiente"/>
        <w:spacing w:line="276" w:lineRule="auto"/>
        <w:ind w:right="62"/>
        <w:jc w:val="center"/>
        <w:rPr>
          <w:rFonts w:ascii="Arial" w:hAnsi="Arial" w:cs="Arial"/>
          <w:b/>
          <w:bCs/>
          <w:sz w:val="24"/>
          <w:szCs w:val="24"/>
          <w:lang w:val="es-MX"/>
        </w:rPr>
      </w:pPr>
      <w:r w:rsidRPr="00F37773">
        <w:rPr>
          <w:sz w:val="24"/>
          <w:szCs w:val="24"/>
          <w:lang w:val="es-MX"/>
        </w:rPr>
        <w:br w:type="column"/>
      </w:r>
      <w:r w:rsidR="00545D2A" w:rsidRPr="00F37773">
        <w:rPr>
          <w:rFonts w:ascii="Arial" w:hAnsi="Arial" w:cs="Arial"/>
          <w:b/>
          <w:bCs/>
          <w:sz w:val="24"/>
          <w:szCs w:val="24"/>
          <w:lang w:val="es-MX"/>
        </w:rPr>
        <w:t>D E C R E T O</w:t>
      </w:r>
    </w:p>
    <w:p w14:paraId="3B6B1340" w14:textId="77777777" w:rsidR="00482CC1" w:rsidRPr="00F37773" w:rsidRDefault="00482CC1" w:rsidP="00F65A27">
      <w:pPr>
        <w:pStyle w:val="Textoindependiente"/>
        <w:ind w:right="62"/>
        <w:rPr>
          <w:rFonts w:ascii="Arial" w:hAnsi="Arial" w:cs="Arial"/>
          <w:b/>
          <w:bCs/>
          <w:sz w:val="24"/>
          <w:szCs w:val="24"/>
          <w:lang w:val="es-MX"/>
        </w:rPr>
      </w:pPr>
    </w:p>
    <w:p w14:paraId="24B7E2D4" w14:textId="04267E4E" w:rsidR="00482CC1" w:rsidRPr="00F37773" w:rsidRDefault="00482CC1" w:rsidP="00F65A27">
      <w:pPr>
        <w:pStyle w:val="Textoindependiente"/>
        <w:spacing w:line="276" w:lineRule="auto"/>
        <w:ind w:right="62"/>
        <w:jc w:val="center"/>
        <w:rPr>
          <w:rFonts w:ascii="Arial" w:hAnsi="Arial" w:cs="Arial"/>
          <w:b/>
          <w:sz w:val="24"/>
          <w:szCs w:val="24"/>
        </w:rPr>
      </w:pPr>
      <w:r w:rsidRPr="00F37773">
        <w:rPr>
          <w:rFonts w:ascii="Arial" w:hAnsi="Arial" w:cs="Arial"/>
          <w:b/>
          <w:sz w:val="24"/>
          <w:szCs w:val="24"/>
        </w:rPr>
        <w:t xml:space="preserve">Por el que se autoriza la donación de un bien inmueble del patrimonio estatal a favor de </w:t>
      </w:r>
      <w:r w:rsidR="00FC290C" w:rsidRPr="00F37773">
        <w:rPr>
          <w:rFonts w:ascii="Arial" w:hAnsi="Arial" w:cs="Arial"/>
          <w:b/>
          <w:sz w:val="24"/>
          <w:szCs w:val="24"/>
        </w:rPr>
        <w:t xml:space="preserve">la </w:t>
      </w:r>
      <w:r w:rsidR="00DB72B7">
        <w:rPr>
          <w:rFonts w:ascii="Arial" w:eastAsia="Century Gothic" w:hAnsi="Arial" w:cs="Arial"/>
          <w:b/>
          <w:sz w:val="24"/>
          <w:szCs w:val="24"/>
        </w:rPr>
        <w:t xml:space="preserve">Auditoría Superior </w:t>
      </w:r>
      <w:r w:rsidR="00FC290C" w:rsidRPr="00F37773">
        <w:rPr>
          <w:rFonts w:ascii="Arial" w:eastAsia="Century Gothic" w:hAnsi="Arial" w:cs="Arial"/>
          <w:b/>
          <w:sz w:val="24"/>
          <w:szCs w:val="24"/>
        </w:rPr>
        <w:t>del Estado de Yucatán</w:t>
      </w:r>
    </w:p>
    <w:p w14:paraId="498DEF38" w14:textId="77777777" w:rsidR="00482CC1" w:rsidRDefault="00482CC1" w:rsidP="002C0990">
      <w:pPr>
        <w:pStyle w:val="Textoindependiente"/>
        <w:ind w:right="62"/>
        <w:rPr>
          <w:rFonts w:ascii="Arial" w:hAnsi="Arial" w:cs="Arial"/>
          <w:b/>
          <w:sz w:val="24"/>
          <w:szCs w:val="24"/>
        </w:rPr>
      </w:pPr>
    </w:p>
    <w:p w14:paraId="4C55DB43" w14:textId="77777777" w:rsidR="002C0990" w:rsidRPr="00F37773" w:rsidRDefault="002C0990" w:rsidP="002C0990">
      <w:pPr>
        <w:pStyle w:val="Textoindependiente"/>
        <w:spacing w:line="360" w:lineRule="auto"/>
        <w:ind w:right="62"/>
        <w:rPr>
          <w:rFonts w:ascii="Arial" w:hAnsi="Arial" w:cs="Arial"/>
          <w:b/>
          <w:sz w:val="24"/>
          <w:szCs w:val="24"/>
        </w:rPr>
      </w:pPr>
    </w:p>
    <w:p w14:paraId="23A6BD3B" w14:textId="194300D2" w:rsidR="00F37773" w:rsidRDefault="002C0990" w:rsidP="00F65A27">
      <w:pPr>
        <w:spacing w:after="0" w:line="240" w:lineRule="auto"/>
        <w:ind w:left="0" w:firstLine="0"/>
        <w:rPr>
          <w:b/>
          <w:szCs w:val="24"/>
        </w:rPr>
      </w:pPr>
      <w:r w:rsidRPr="00DB72B7">
        <w:rPr>
          <w:b/>
          <w:szCs w:val="24"/>
        </w:rPr>
        <w:t>Artículo único.</w:t>
      </w:r>
      <w:r w:rsidRPr="00DB72B7">
        <w:rPr>
          <w:szCs w:val="24"/>
        </w:rPr>
        <w:t xml:space="preserve"> </w:t>
      </w:r>
      <w:r w:rsidR="00F37773" w:rsidRPr="00F37773">
        <w:rPr>
          <w:b/>
          <w:szCs w:val="24"/>
        </w:rPr>
        <w:t>Donación</w:t>
      </w:r>
    </w:p>
    <w:p w14:paraId="405C7306" w14:textId="77777777" w:rsidR="00F37773" w:rsidRPr="00DB72B7" w:rsidRDefault="00F37773" w:rsidP="002C0990">
      <w:pPr>
        <w:spacing w:after="0" w:line="276" w:lineRule="auto"/>
        <w:ind w:left="0" w:firstLine="0"/>
        <w:rPr>
          <w:b/>
          <w:szCs w:val="24"/>
        </w:rPr>
      </w:pPr>
    </w:p>
    <w:p w14:paraId="05C31971" w14:textId="3360F5DB" w:rsidR="00DB72B7" w:rsidRDefault="00DB72B7" w:rsidP="002C0990">
      <w:pPr>
        <w:pStyle w:val="Textoindependiente"/>
        <w:spacing w:line="276" w:lineRule="auto"/>
        <w:ind w:right="62"/>
        <w:rPr>
          <w:rFonts w:ascii="Arial" w:eastAsia="Arial" w:hAnsi="Arial" w:cs="Arial"/>
          <w:color w:val="000000"/>
          <w:sz w:val="24"/>
          <w:szCs w:val="24"/>
          <w:lang w:val="es-MX" w:eastAsia="es-MX"/>
        </w:rPr>
      </w:pPr>
      <w:r w:rsidRPr="00DB72B7">
        <w:rPr>
          <w:rFonts w:ascii="Arial" w:eastAsia="Arial" w:hAnsi="Arial" w:cs="Arial"/>
          <w:color w:val="000000"/>
          <w:sz w:val="24"/>
          <w:szCs w:val="24"/>
          <w:lang w:val="es-MX" w:eastAsia="es-MX"/>
        </w:rPr>
        <w:t xml:space="preserve">Se autoriza al Gobierno del Estado de Yucatán, la donación a favor de la Auditoría Superior del Estado de Yucatán, para el desarrollo de sus servicios públicos, del siguiente bien inmueble del patrimonio del Gobierno del estado, correspondiente al dominio privado: </w:t>
      </w:r>
    </w:p>
    <w:p w14:paraId="177CE717" w14:textId="77777777" w:rsidR="00DB72B7" w:rsidRPr="00DB72B7" w:rsidRDefault="00DB72B7" w:rsidP="002C0990">
      <w:pPr>
        <w:pStyle w:val="Textoindependiente"/>
        <w:spacing w:line="360" w:lineRule="auto"/>
        <w:ind w:right="62"/>
        <w:rPr>
          <w:rFonts w:ascii="Arial" w:eastAsia="Arial" w:hAnsi="Arial" w:cs="Arial"/>
          <w:color w:val="000000"/>
          <w:sz w:val="24"/>
          <w:szCs w:val="24"/>
          <w:lang w:val="es-MX" w:eastAsia="es-MX"/>
        </w:rPr>
      </w:pPr>
    </w:p>
    <w:p w14:paraId="1C298A3D" w14:textId="77777777" w:rsidR="00DB72B7" w:rsidRPr="00A56916" w:rsidRDefault="00DB72B7" w:rsidP="00F65A27">
      <w:pPr>
        <w:pStyle w:val="Textoindependiente"/>
        <w:spacing w:line="276" w:lineRule="auto"/>
        <w:ind w:right="62"/>
        <w:rPr>
          <w:rFonts w:ascii="Arial" w:eastAsia="Arial" w:hAnsi="Arial" w:cs="Arial"/>
          <w:color w:val="000000"/>
          <w:sz w:val="24"/>
          <w:szCs w:val="24"/>
          <w:lang w:val="es-MX" w:eastAsia="es-MX"/>
        </w:rPr>
      </w:pPr>
      <w:r w:rsidRPr="00A56916">
        <w:rPr>
          <w:rFonts w:ascii="Arial" w:eastAsia="Arial" w:hAnsi="Arial" w:cs="Arial"/>
          <w:color w:val="000000"/>
          <w:sz w:val="24"/>
          <w:szCs w:val="24"/>
          <w:lang w:val="es-MX" w:eastAsia="es-MX"/>
        </w:rPr>
        <w:t>“Predio marcado con el número CUATROCIENTOS SESENTA Y SIETE de la calle SESENTA Y DOS de la colonia Mil Piedras, de la localidad y municipio de Mérida, Yucatán, ubicado en la sección catastral veintiuno, manzana cero doscientos cincuenta y cuatro, con una superficie de 9,039.08 m2 (nueve mil treinta y nueve punto cero ocho metro cuadrados); de figura irregular, el cual cuenta con las medidas y colindancias siguientes: Partiendo del vértice del ángulo noroeste con dirección al sureste, mide ciento veintiuno punto veintidós metros; de este punto con dirección al suroeste mide ochenta y cuatro punto cero cinco metros; de este punto con dirección al noroeste, mide veinticuatro punto cuarenta y un metros; de este punto con dirección al oeste, inclinación Sur, mide doce punto ochenta metros; de este punto con dirección al noroeste, mide quince punto ochenta y dos metros; de este punto con dirección al Oeste, inclinación Sur, mide dieciocho punto diecinueve metros; de este punto con dirección al noroeste, mide diez punto setenta y cinco metros; de este punto con dirección al noreste, mide dieciocho punto dieciocho metros; de este punto con dirección al noroeste, mide veinte punto treinta metros; de este punto con dirección al noreste, mide uno punto sesenta y tres metros; de este punto con dirección al noroeste, mide veintiocho punto cero cinco metros; de este punto con dirección al noreste, hasta llegar al punto de partida y cerrar el perímetro que se describe, mide cincuenta y tres punto setenta y siete metros; y colinda: Al noreste con la calle sesenta y nueve; al sureste, con la calle sesenta y dos; al noroeste, con la calle sesenta y cuatro, y al suroeste con el predio número cuatrocientos sesenta y nueve de la calle sesenta y dos de la colonia Mil Piedras.” Inscrito en el Registro Público de la Propiedad y del Comercio del Instituto de Seguridad Jurídica Patrimonial de Yucatán, el 4 de julio de 2024, bajo el número de inscripción 3517036 y el folio electrónico 1192938.</w:t>
      </w:r>
    </w:p>
    <w:p w14:paraId="71C7C27B" w14:textId="77777777" w:rsidR="00DB72B7" w:rsidRPr="00F65A27" w:rsidRDefault="00DB72B7" w:rsidP="00F65A27">
      <w:pPr>
        <w:pStyle w:val="Textoindependiente"/>
        <w:ind w:right="62"/>
        <w:jc w:val="center"/>
        <w:rPr>
          <w:rFonts w:ascii="Arial" w:eastAsia="Arial" w:hAnsi="Arial" w:cs="Arial"/>
          <w:color w:val="000000"/>
          <w:sz w:val="22"/>
          <w:szCs w:val="24"/>
          <w:lang w:val="es-MX" w:eastAsia="es-MX"/>
        </w:rPr>
      </w:pPr>
    </w:p>
    <w:p w14:paraId="59581178" w14:textId="00A91643" w:rsidR="000B7D83" w:rsidRPr="00F37773" w:rsidRDefault="00F64CBE" w:rsidP="00F65A27">
      <w:pPr>
        <w:pStyle w:val="Textoindependiente"/>
        <w:ind w:right="62"/>
        <w:jc w:val="center"/>
        <w:rPr>
          <w:rFonts w:ascii="Arial" w:hAnsi="Arial" w:cs="Arial"/>
          <w:b/>
          <w:sz w:val="24"/>
          <w:szCs w:val="24"/>
        </w:rPr>
      </w:pPr>
      <w:r w:rsidRPr="00F37773">
        <w:rPr>
          <w:rFonts w:ascii="Arial" w:hAnsi="Arial" w:cs="Arial"/>
          <w:b/>
          <w:sz w:val="24"/>
          <w:szCs w:val="24"/>
        </w:rPr>
        <w:t xml:space="preserve">T </w:t>
      </w:r>
      <w:r w:rsidR="00482CC1" w:rsidRPr="00F37773">
        <w:rPr>
          <w:rFonts w:ascii="Arial" w:hAnsi="Arial" w:cs="Arial"/>
          <w:b/>
          <w:sz w:val="24"/>
          <w:szCs w:val="24"/>
        </w:rPr>
        <w:t>r</w:t>
      </w:r>
      <w:r w:rsidRPr="00F37773">
        <w:rPr>
          <w:rFonts w:ascii="Arial" w:hAnsi="Arial" w:cs="Arial"/>
          <w:b/>
          <w:sz w:val="24"/>
          <w:szCs w:val="24"/>
        </w:rPr>
        <w:t xml:space="preserve"> </w:t>
      </w:r>
      <w:r w:rsidR="00482CC1" w:rsidRPr="00F37773">
        <w:rPr>
          <w:rFonts w:ascii="Arial" w:hAnsi="Arial" w:cs="Arial"/>
          <w:b/>
          <w:sz w:val="24"/>
          <w:szCs w:val="24"/>
        </w:rPr>
        <w:t>a</w:t>
      </w:r>
      <w:r w:rsidRPr="00F37773">
        <w:rPr>
          <w:rFonts w:ascii="Arial" w:hAnsi="Arial" w:cs="Arial"/>
          <w:b/>
          <w:sz w:val="24"/>
          <w:szCs w:val="24"/>
        </w:rPr>
        <w:t xml:space="preserve"> </w:t>
      </w:r>
      <w:r w:rsidR="00482CC1" w:rsidRPr="00F37773">
        <w:rPr>
          <w:rFonts w:ascii="Arial" w:hAnsi="Arial" w:cs="Arial"/>
          <w:b/>
          <w:sz w:val="24"/>
          <w:szCs w:val="24"/>
        </w:rPr>
        <w:t>n</w:t>
      </w:r>
      <w:r w:rsidRPr="00F37773">
        <w:rPr>
          <w:rFonts w:ascii="Arial" w:hAnsi="Arial" w:cs="Arial"/>
          <w:b/>
          <w:sz w:val="24"/>
          <w:szCs w:val="24"/>
        </w:rPr>
        <w:t xml:space="preserve"> </w:t>
      </w:r>
      <w:r w:rsidR="00482CC1" w:rsidRPr="00F37773">
        <w:rPr>
          <w:rFonts w:ascii="Arial" w:hAnsi="Arial" w:cs="Arial"/>
          <w:b/>
          <w:sz w:val="24"/>
          <w:szCs w:val="24"/>
        </w:rPr>
        <w:t>s</w:t>
      </w:r>
      <w:r w:rsidRPr="00F37773">
        <w:rPr>
          <w:rFonts w:ascii="Arial" w:hAnsi="Arial" w:cs="Arial"/>
          <w:b/>
          <w:sz w:val="24"/>
          <w:szCs w:val="24"/>
        </w:rPr>
        <w:t xml:space="preserve"> </w:t>
      </w:r>
      <w:r w:rsidR="00482CC1" w:rsidRPr="00F37773">
        <w:rPr>
          <w:rFonts w:ascii="Arial" w:hAnsi="Arial" w:cs="Arial"/>
          <w:b/>
          <w:sz w:val="24"/>
          <w:szCs w:val="24"/>
        </w:rPr>
        <w:t>i</w:t>
      </w:r>
      <w:r w:rsidRPr="00F37773">
        <w:rPr>
          <w:rFonts w:ascii="Arial" w:hAnsi="Arial" w:cs="Arial"/>
          <w:b/>
          <w:sz w:val="24"/>
          <w:szCs w:val="24"/>
        </w:rPr>
        <w:t xml:space="preserve"> </w:t>
      </w:r>
      <w:r w:rsidR="00482CC1" w:rsidRPr="00F37773">
        <w:rPr>
          <w:rFonts w:ascii="Arial" w:hAnsi="Arial" w:cs="Arial"/>
          <w:b/>
          <w:sz w:val="24"/>
          <w:szCs w:val="24"/>
        </w:rPr>
        <w:t>t</w:t>
      </w:r>
      <w:r w:rsidRPr="00F37773">
        <w:rPr>
          <w:rFonts w:ascii="Arial" w:hAnsi="Arial" w:cs="Arial"/>
          <w:b/>
          <w:sz w:val="24"/>
          <w:szCs w:val="24"/>
        </w:rPr>
        <w:t xml:space="preserve"> </w:t>
      </w:r>
      <w:r w:rsidR="00482CC1" w:rsidRPr="00F37773">
        <w:rPr>
          <w:rFonts w:ascii="Arial" w:hAnsi="Arial" w:cs="Arial"/>
          <w:b/>
          <w:sz w:val="24"/>
          <w:szCs w:val="24"/>
        </w:rPr>
        <w:t>o</w:t>
      </w:r>
      <w:r w:rsidRPr="00F37773">
        <w:rPr>
          <w:rFonts w:ascii="Arial" w:hAnsi="Arial" w:cs="Arial"/>
          <w:b/>
          <w:sz w:val="24"/>
          <w:szCs w:val="24"/>
        </w:rPr>
        <w:t xml:space="preserve"> </w:t>
      </w:r>
      <w:r w:rsidR="00482CC1" w:rsidRPr="00F37773">
        <w:rPr>
          <w:rFonts w:ascii="Arial" w:hAnsi="Arial" w:cs="Arial"/>
          <w:b/>
          <w:sz w:val="24"/>
          <w:szCs w:val="24"/>
        </w:rPr>
        <w:t>r</w:t>
      </w:r>
      <w:r w:rsidRPr="00F37773">
        <w:rPr>
          <w:rFonts w:ascii="Arial" w:hAnsi="Arial" w:cs="Arial"/>
          <w:b/>
          <w:sz w:val="24"/>
          <w:szCs w:val="24"/>
        </w:rPr>
        <w:t xml:space="preserve"> </w:t>
      </w:r>
      <w:r w:rsidR="00482CC1" w:rsidRPr="00F37773">
        <w:rPr>
          <w:rFonts w:ascii="Arial" w:hAnsi="Arial" w:cs="Arial"/>
          <w:b/>
          <w:sz w:val="24"/>
          <w:szCs w:val="24"/>
        </w:rPr>
        <w:t>i</w:t>
      </w:r>
      <w:r w:rsidRPr="00F37773">
        <w:rPr>
          <w:rFonts w:ascii="Arial" w:hAnsi="Arial" w:cs="Arial"/>
          <w:b/>
          <w:sz w:val="24"/>
          <w:szCs w:val="24"/>
        </w:rPr>
        <w:t xml:space="preserve"> </w:t>
      </w:r>
      <w:r w:rsidR="00482CC1" w:rsidRPr="00F37773">
        <w:rPr>
          <w:rFonts w:ascii="Arial" w:hAnsi="Arial" w:cs="Arial"/>
          <w:b/>
          <w:sz w:val="24"/>
          <w:szCs w:val="24"/>
        </w:rPr>
        <w:t>o</w:t>
      </w:r>
    </w:p>
    <w:p w14:paraId="65952BFB" w14:textId="77777777" w:rsidR="000B7D83" w:rsidRPr="00F37773" w:rsidRDefault="000B7D83" w:rsidP="00F65A27">
      <w:pPr>
        <w:pStyle w:val="Textoindependiente"/>
        <w:ind w:right="62"/>
        <w:rPr>
          <w:rFonts w:ascii="Arial" w:hAnsi="Arial" w:cs="Arial"/>
          <w:b/>
          <w:sz w:val="24"/>
          <w:szCs w:val="24"/>
        </w:rPr>
      </w:pPr>
    </w:p>
    <w:p w14:paraId="183CA978" w14:textId="686840D9" w:rsidR="000B7D83" w:rsidRPr="00F37773" w:rsidRDefault="00482CC1" w:rsidP="00F65A27">
      <w:pPr>
        <w:pStyle w:val="Textoindependiente"/>
        <w:ind w:right="62"/>
        <w:rPr>
          <w:rFonts w:ascii="Arial" w:hAnsi="Arial" w:cs="Arial"/>
          <w:b/>
          <w:sz w:val="24"/>
          <w:szCs w:val="24"/>
        </w:rPr>
      </w:pPr>
      <w:r w:rsidRPr="00F37773">
        <w:rPr>
          <w:rFonts w:ascii="Arial" w:hAnsi="Arial" w:cs="Arial"/>
          <w:b/>
          <w:sz w:val="24"/>
          <w:szCs w:val="24"/>
        </w:rPr>
        <w:t>Entrada en vigor</w:t>
      </w:r>
    </w:p>
    <w:p w14:paraId="6E439DCA" w14:textId="77777777" w:rsidR="000B7D83" w:rsidRPr="00F37773" w:rsidRDefault="000B7D83" w:rsidP="00F65A27">
      <w:pPr>
        <w:pStyle w:val="Textoindependiente"/>
        <w:ind w:right="62"/>
        <w:rPr>
          <w:rFonts w:ascii="Arial" w:hAnsi="Arial" w:cs="Arial"/>
          <w:b/>
          <w:sz w:val="24"/>
          <w:szCs w:val="24"/>
        </w:rPr>
      </w:pPr>
    </w:p>
    <w:p w14:paraId="1CF3C1BC" w14:textId="028CBC92" w:rsidR="002770A1" w:rsidRPr="00F37773" w:rsidRDefault="00DB72B7" w:rsidP="00F65A27">
      <w:pPr>
        <w:pStyle w:val="Textoindependiente"/>
        <w:spacing w:line="276" w:lineRule="auto"/>
        <w:ind w:right="62"/>
        <w:rPr>
          <w:rFonts w:ascii="Arial" w:hAnsi="Arial" w:cs="Arial"/>
          <w:b/>
          <w:sz w:val="24"/>
          <w:szCs w:val="24"/>
        </w:rPr>
      </w:pPr>
      <w:r w:rsidRPr="00F37773">
        <w:rPr>
          <w:rFonts w:ascii="Arial" w:hAnsi="Arial" w:cs="Arial"/>
          <w:b/>
          <w:sz w:val="24"/>
          <w:szCs w:val="24"/>
        </w:rPr>
        <w:t xml:space="preserve">Artículo único. </w:t>
      </w:r>
      <w:r w:rsidR="00482CC1" w:rsidRPr="00F37773">
        <w:rPr>
          <w:rFonts w:ascii="Arial" w:hAnsi="Arial" w:cs="Arial"/>
          <w:sz w:val="24"/>
          <w:szCs w:val="24"/>
        </w:rPr>
        <w:t>Este decreto entrará en vigor el día siguiente al de su publicación en el Diario Oficial del Gobierno del Estado de Yucatán</w:t>
      </w:r>
    </w:p>
    <w:p w14:paraId="7924521C" w14:textId="77777777" w:rsidR="005449F2" w:rsidRPr="00F37773" w:rsidRDefault="005449F2" w:rsidP="00F65A27">
      <w:pPr>
        <w:spacing w:after="0" w:line="360" w:lineRule="auto"/>
        <w:ind w:left="0" w:firstLine="708"/>
        <w:rPr>
          <w:color w:val="auto"/>
          <w:szCs w:val="24"/>
        </w:rPr>
      </w:pPr>
    </w:p>
    <w:p w14:paraId="538F25B7" w14:textId="30C45F2A" w:rsidR="009175DA" w:rsidRPr="00F37773" w:rsidRDefault="00C80038" w:rsidP="00F65A27">
      <w:pPr>
        <w:spacing w:after="0" w:line="240" w:lineRule="auto"/>
        <w:ind w:left="0" w:firstLine="0"/>
        <w:rPr>
          <w:b/>
          <w:caps/>
          <w:color w:val="auto"/>
          <w:szCs w:val="24"/>
        </w:rPr>
      </w:pPr>
      <w:r w:rsidRPr="00F37773">
        <w:rPr>
          <w:b/>
          <w:color w:val="auto"/>
          <w:szCs w:val="24"/>
        </w:rPr>
        <w:t xml:space="preserve">DADO EN LA SALA DE </w:t>
      </w:r>
      <w:r w:rsidR="0041074B" w:rsidRPr="00F37773">
        <w:rPr>
          <w:b/>
          <w:color w:val="auto"/>
          <w:szCs w:val="24"/>
        </w:rPr>
        <w:t xml:space="preserve">USOS MÚLTIPLES </w:t>
      </w:r>
      <w:r w:rsidR="004230F8" w:rsidRPr="00F37773">
        <w:rPr>
          <w:b/>
          <w:color w:val="auto"/>
          <w:szCs w:val="24"/>
        </w:rPr>
        <w:t>“</w:t>
      </w:r>
      <w:r w:rsidR="00D14674" w:rsidRPr="00F37773">
        <w:rPr>
          <w:b/>
          <w:color w:val="auto"/>
          <w:szCs w:val="24"/>
        </w:rPr>
        <w:t xml:space="preserve">MAESTRA </w:t>
      </w:r>
      <w:r w:rsidR="0041074B" w:rsidRPr="00F37773">
        <w:rPr>
          <w:b/>
          <w:color w:val="auto"/>
          <w:szCs w:val="24"/>
        </w:rPr>
        <w:t>CONSUELO ZAVALA</w:t>
      </w:r>
      <w:r w:rsidR="00CA4250" w:rsidRPr="00F37773">
        <w:rPr>
          <w:b/>
          <w:color w:val="auto"/>
          <w:szCs w:val="24"/>
        </w:rPr>
        <w:t xml:space="preserve"> CASTILLO</w:t>
      </w:r>
      <w:r w:rsidR="004230F8" w:rsidRPr="00F37773">
        <w:rPr>
          <w:b/>
          <w:color w:val="auto"/>
          <w:szCs w:val="24"/>
        </w:rPr>
        <w:t>”</w:t>
      </w:r>
      <w:r w:rsidRPr="00F37773">
        <w:rPr>
          <w:b/>
          <w:color w:val="auto"/>
          <w:szCs w:val="24"/>
        </w:rPr>
        <w:t xml:space="preserve"> DEL RECINTO DEL PODER LEGISLATIVO, EN </w:t>
      </w:r>
      <w:r w:rsidR="0050570B" w:rsidRPr="00F37773">
        <w:rPr>
          <w:b/>
          <w:color w:val="auto"/>
          <w:szCs w:val="24"/>
        </w:rPr>
        <w:t>LA CIUDAD DE MÉRIDA, YUCATÁN, A</w:t>
      </w:r>
      <w:r w:rsidR="00CC0C57" w:rsidRPr="00F37773">
        <w:rPr>
          <w:b/>
          <w:color w:val="auto"/>
          <w:szCs w:val="24"/>
        </w:rPr>
        <w:t xml:space="preserve"> </w:t>
      </w:r>
      <w:r w:rsidRPr="00F37773">
        <w:rPr>
          <w:b/>
          <w:color w:val="auto"/>
          <w:szCs w:val="24"/>
        </w:rPr>
        <w:t>L</w:t>
      </w:r>
      <w:r w:rsidR="00CC0C57" w:rsidRPr="00F37773">
        <w:rPr>
          <w:b/>
          <w:color w:val="auto"/>
          <w:szCs w:val="24"/>
        </w:rPr>
        <w:t>OS</w:t>
      </w:r>
      <w:r w:rsidR="0018579B" w:rsidRPr="00F37773">
        <w:rPr>
          <w:b/>
          <w:color w:val="auto"/>
          <w:szCs w:val="24"/>
        </w:rPr>
        <w:t xml:space="preserve"> </w:t>
      </w:r>
      <w:r w:rsidR="00FC79DA">
        <w:rPr>
          <w:b/>
          <w:color w:val="auto"/>
          <w:szCs w:val="24"/>
        </w:rPr>
        <w:t>VEINTIOCHO</w:t>
      </w:r>
      <w:r w:rsidR="000E4FFA" w:rsidRPr="00F37773">
        <w:rPr>
          <w:b/>
          <w:color w:val="auto"/>
          <w:szCs w:val="24"/>
        </w:rPr>
        <w:t xml:space="preserve"> </w:t>
      </w:r>
      <w:r w:rsidR="0050570B" w:rsidRPr="00F37773">
        <w:rPr>
          <w:b/>
          <w:color w:val="auto"/>
          <w:szCs w:val="24"/>
        </w:rPr>
        <w:t>DÍA</w:t>
      </w:r>
      <w:r w:rsidR="00DA754E" w:rsidRPr="00F37773">
        <w:rPr>
          <w:b/>
          <w:color w:val="auto"/>
          <w:szCs w:val="24"/>
        </w:rPr>
        <w:t>S</w:t>
      </w:r>
      <w:r w:rsidR="0050570B" w:rsidRPr="00F37773">
        <w:rPr>
          <w:b/>
          <w:color w:val="auto"/>
          <w:szCs w:val="24"/>
        </w:rPr>
        <w:t xml:space="preserve"> </w:t>
      </w:r>
      <w:r w:rsidRPr="00F37773">
        <w:rPr>
          <w:b/>
          <w:color w:val="auto"/>
          <w:szCs w:val="24"/>
        </w:rPr>
        <w:t xml:space="preserve">DEL MES DE </w:t>
      </w:r>
      <w:r w:rsidR="00CF357F" w:rsidRPr="00F37773">
        <w:rPr>
          <w:b/>
          <w:color w:val="auto"/>
          <w:szCs w:val="24"/>
        </w:rPr>
        <w:t xml:space="preserve">AGOSTO </w:t>
      </w:r>
      <w:r w:rsidRPr="00F37773">
        <w:rPr>
          <w:b/>
          <w:color w:val="auto"/>
          <w:szCs w:val="24"/>
        </w:rPr>
        <w:t xml:space="preserve">DEL AÑO DOS MIL </w:t>
      </w:r>
      <w:r w:rsidR="004C045A" w:rsidRPr="00F37773">
        <w:rPr>
          <w:b/>
          <w:color w:val="auto"/>
          <w:szCs w:val="24"/>
        </w:rPr>
        <w:t>VEINTICUATRO</w:t>
      </w:r>
      <w:r w:rsidRPr="00F37773">
        <w:rPr>
          <w:b/>
          <w:color w:val="auto"/>
          <w:szCs w:val="24"/>
        </w:rPr>
        <w:t>.</w:t>
      </w:r>
    </w:p>
    <w:p w14:paraId="1F52530A" w14:textId="77777777" w:rsidR="00CE18B8" w:rsidRPr="00F64CBE" w:rsidRDefault="00CE18B8" w:rsidP="007E09F7">
      <w:pPr>
        <w:pStyle w:val="Textoindependiente"/>
        <w:spacing w:line="360" w:lineRule="auto"/>
        <w:ind w:left="10" w:right="62"/>
        <w:jc w:val="center"/>
        <w:rPr>
          <w:rFonts w:ascii="Arial" w:hAnsi="Arial" w:cs="Arial"/>
          <w:b/>
          <w:caps/>
          <w:sz w:val="24"/>
          <w:szCs w:val="24"/>
          <w:lang w:val="es-MX"/>
        </w:rPr>
      </w:pPr>
    </w:p>
    <w:p w14:paraId="6B50BEB8" w14:textId="30CADF31" w:rsidR="002E2051" w:rsidRDefault="00E10421" w:rsidP="00F65A27">
      <w:pPr>
        <w:pStyle w:val="Textoindependiente"/>
        <w:ind w:left="10" w:right="62"/>
        <w:jc w:val="center"/>
        <w:rPr>
          <w:rFonts w:ascii="Arial" w:hAnsi="Arial" w:cs="Arial"/>
          <w:b/>
          <w:caps/>
          <w:sz w:val="24"/>
          <w:szCs w:val="24"/>
        </w:rPr>
      </w:pPr>
      <w:r w:rsidRPr="00F64CBE">
        <w:rPr>
          <w:rFonts w:ascii="Arial" w:hAnsi="Arial" w:cs="Arial"/>
          <w:b/>
          <w:caps/>
          <w:sz w:val="24"/>
          <w:szCs w:val="24"/>
        </w:rPr>
        <w:t>COMISIÓN PERMANENTE DE PRESUPUESTO, PATRIMONIO ESTATAL Y MUNICIPAL</w:t>
      </w:r>
    </w:p>
    <w:p w14:paraId="70C4E36E" w14:textId="77777777" w:rsidR="002C0990" w:rsidRPr="00F64CBE" w:rsidRDefault="002C0990" w:rsidP="00F65A27">
      <w:pPr>
        <w:pStyle w:val="Textoindependiente"/>
        <w:ind w:left="10" w:right="62"/>
        <w:jc w:val="center"/>
        <w:rPr>
          <w:rFonts w:ascii="Arial" w:hAnsi="Arial" w:cs="Arial"/>
          <w:b/>
          <w:cap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E647DA" w:rsidRPr="00E647DA" w14:paraId="45A44404" w14:textId="77777777" w:rsidTr="00A56916">
        <w:trPr>
          <w:tblHeader/>
          <w:jc w:val="center"/>
        </w:trPr>
        <w:tc>
          <w:tcPr>
            <w:tcW w:w="2405" w:type="dxa"/>
            <w:tcBorders>
              <w:bottom w:val="single" w:sz="4" w:space="0" w:color="auto"/>
            </w:tcBorders>
            <w:shd w:val="clear" w:color="auto" w:fill="A6A6A6"/>
          </w:tcPr>
          <w:p w14:paraId="7840611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EN CONTRA</w:t>
            </w:r>
          </w:p>
        </w:tc>
      </w:tr>
      <w:tr w:rsidR="00E647DA" w:rsidRPr="00E647DA" w14:paraId="211F1C1E" w14:textId="77777777" w:rsidTr="001F5F3E">
        <w:trPr>
          <w:jc w:val="center"/>
        </w:trPr>
        <w:tc>
          <w:tcPr>
            <w:tcW w:w="2405" w:type="dxa"/>
            <w:tcBorders>
              <w:bottom w:val="single" w:sz="4" w:space="0" w:color="auto"/>
            </w:tcBorders>
            <w:shd w:val="clear" w:color="auto" w:fill="auto"/>
            <w:vAlign w:val="center"/>
          </w:tcPr>
          <w:p w14:paraId="1F738BD3" w14:textId="77777777" w:rsidR="005449F2" w:rsidRPr="00E647DA" w:rsidRDefault="005449F2" w:rsidP="00F65A27">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PRESIDENTE</w:t>
            </w:r>
          </w:p>
          <w:p w14:paraId="4449BE2B" w14:textId="77777777" w:rsidR="005449F2" w:rsidRPr="00E647DA" w:rsidRDefault="005449F2" w:rsidP="00F65A2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E647DA">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7129F68" w14:textId="604D2A98" w:rsidR="005449F2" w:rsidRPr="00E647DA" w:rsidRDefault="005449F2" w:rsidP="00762A3B">
            <w:pPr>
              <w:spacing w:after="0" w:line="240" w:lineRule="auto"/>
              <w:ind w:left="0" w:right="51" w:firstLine="0"/>
              <w:contextualSpacing/>
              <w:jc w:val="center"/>
              <w:rPr>
                <w:rFonts w:eastAsia="Times New Roman"/>
                <w:caps/>
                <w:color w:val="auto"/>
                <w:sz w:val="20"/>
                <w:szCs w:val="20"/>
                <w:lang w:eastAsia="es-ES"/>
              </w:rPr>
            </w:pPr>
            <w:r w:rsidRPr="00E647DA">
              <w:rPr>
                <w:rFonts w:eastAsia="Times New Roman"/>
                <w:b/>
                <w:caps/>
                <w:color w:val="auto"/>
                <w:sz w:val="20"/>
                <w:szCs w:val="20"/>
                <w:lang w:eastAsia="es-ES"/>
              </w:rPr>
              <w:t>DIP. Jesús Efrén Pérez Ballote.</w:t>
            </w:r>
          </w:p>
        </w:tc>
        <w:tc>
          <w:tcPr>
            <w:tcW w:w="2078" w:type="dxa"/>
            <w:tcBorders>
              <w:bottom w:val="single" w:sz="4" w:space="0" w:color="auto"/>
            </w:tcBorders>
            <w:shd w:val="clear" w:color="auto" w:fill="auto"/>
            <w:vAlign w:val="center"/>
          </w:tcPr>
          <w:p w14:paraId="607A2C2D" w14:textId="0FD440CD" w:rsidR="005449F2" w:rsidRPr="00E647DA" w:rsidRDefault="001F5F3E" w:rsidP="001F5F3E">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410" w:type="dxa"/>
            <w:tcBorders>
              <w:bottom w:val="single" w:sz="4" w:space="0" w:color="auto"/>
            </w:tcBorders>
            <w:shd w:val="clear" w:color="auto" w:fill="auto"/>
          </w:tcPr>
          <w:p w14:paraId="49FD9A8E" w14:textId="77777777" w:rsidR="005449F2" w:rsidRPr="00E647DA" w:rsidRDefault="005449F2" w:rsidP="005449F2">
            <w:pPr>
              <w:spacing w:after="0" w:line="240" w:lineRule="auto"/>
              <w:ind w:left="0" w:right="51" w:firstLine="0"/>
              <w:contextualSpacing/>
              <w:rPr>
                <w:rFonts w:eastAsia="Times New Roman"/>
                <w:caps/>
                <w:color w:val="auto"/>
                <w:sz w:val="20"/>
                <w:szCs w:val="20"/>
                <w:lang w:eastAsia="es-ES"/>
              </w:rPr>
            </w:pPr>
          </w:p>
        </w:tc>
      </w:tr>
      <w:tr w:rsidR="00E647DA" w:rsidRPr="00E647DA" w14:paraId="06429D4B" w14:textId="77777777" w:rsidTr="00A56916">
        <w:trPr>
          <w:jc w:val="center"/>
        </w:trPr>
        <w:tc>
          <w:tcPr>
            <w:tcW w:w="2405" w:type="dxa"/>
            <w:tcBorders>
              <w:top w:val="nil"/>
              <w:bottom w:val="single" w:sz="4" w:space="0" w:color="auto"/>
            </w:tcBorders>
            <w:shd w:val="clear" w:color="auto" w:fill="auto"/>
            <w:vAlign w:val="center"/>
          </w:tcPr>
          <w:p w14:paraId="08859C7E" w14:textId="77777777" w:rsidR="005449F2" w:rsidRPr="00E647DA" w:rsidRDefault="005449F2" w:rsidP="00F65A27">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VICEPRESIDENTE</w:t>
            </w:r>
          </w:p>
          <w:p w14:paraId="5715C36D" w14:textId="77777777" w:rsidR="005449F2" w:rsidRPr="00E647DA" w:rsidRDefault="005449F2" w:rsidP="00F65A2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78F71485"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HARRY GERARDO RODRÍGUEZ BOTELLO FIERRO.</w:t>
            </w:r>
          </w:p>
        </w:tc>
        <w:tc>
          <w:tcPr>
            <w:tcW w:w="2078" w:type="dxa"/>
            <w:tcBorders>
              <w:top w:val="nil"/>
              <w:bottom w:val="single" w:sz="4" w:space="0" w:color="auto"/>
            </w:tcBorders>
            <w:shd w:val="clear" w:color="auto" w:fill="auto"/>
          </w:tcPr>
          <w:p w14:paraId="28CF0E68"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2A6881A7"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E647DA" w:rsidRPr="00E647DA" w14:paraId="6F5EDF93" w14:textId="77777777" w:rsidTr="001F5F3E">
        <w:trPr>
          <w:jc w:val="center"/>
        </w:trPr>
        <w:tc>
          <w:tcPr>
            <w:tcW w:w="2405" w:type="dxa"/>
            <w:tcBorders>
              <w:top w:val="nil"/>
              <w:bottom w:val="single" w:sz="4" w:space="0" w:color="auto"/>
            </w:tcBorders>
            <w:shd w:val="clear" w:color="auto" w:fill="auto"/>
            <w:vAlign w:val="center"/>
          </w:tcPr>
          <w:p w14:paraId="1626932A" w14:textId="77777777" w:rsidR="005449F2" w:rsidRPr="00E647DA" w:rsidRDefault="005449F2" w:rsidP="00F65A27">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secretariO</w:t>
            </w:r>
          </w:p>
          <w:p w14:paraId="74906222" w14:textId="77777777" w:rsidR="005449F2" w:rsidRPr="00E647DA" w:rsidRDefault="005449F2" w:rsidP="00F65A27">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top w:val="nil"/>
              <w:bottom w:val="single" w:sz="4" w:space="0" w:color="auto"/>
            </w:tcBorders>
            <w:shd w:val="clear" w:color="auto" w:fill="auto"/>
          </w:tcPr>
          <w:p w14:paraId="6211A61D" w14:textId="77777777" w:rsidR="005449F2" w:rsidRPr="00E647DA" w:rsidRDefault="005449F2" w:rsidP="005449F2">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noProof/>
                <w:color w:val="auto"/>
                <w:sz w:val="20"/>
                <w:szCs w:val="20"/>
              </w:rPr>
              <w:drawing>
                <wp:inline distT="0" distB="0" distL="0" distR="0" wp14:anchorId="4051A51B" wp14:editId="1737C3C5">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5449F2" w:rsidRPr="00E647DA" w:rsidRDefault="005449F2" w:rsidP="005449F2">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b/>
                <w:noProof/>
                <w:color w:val="auto"/>
                <w:sz w:val="20"/>
                <w:szCs w:val="20"/>
                <w:lang w:val="es-ES"/>
              </w:rPr>
              <w:t>DIP. JOSÉ CRESCENCIO GUTIÉRREZ GONZÁLEZ.</w:t>
            </w:r>
          </w:p>
        </w:tc>
        <w:tc>
          <w:tcPr>
            <w:tcW w:w="2078" w:type="dxa"/>
            <w:tcBorders>
              <w:top w:val="nil"/>
              <w:bottom w:val="single" w:sz="4" w:space="0" w:color="auto"/>
            </w:tcBorders>
            <w:shd w:val="clear" w:color="auto" w:fill="auto"/>
            <w:vAlign w:val="center"/>
          </w:tcPr>
          <w:p w14:paraId="62D8CA63" w14:textId="51FA083C" w:rsidR="00DD7127" w:rsidRPr="00E647DA" w:rsidRDefault="001F5F3E" w:rsidP="001F5F3E">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p>
        </w:tc>
        <w:tc>
          <w:tcPr>
            <w:tcW w:w="2410" w:type="dxa"/>
            <w:tcBorders>
              <w:top w:val="nil"/>
              <w:bottom w:val="single" w:sz="4" w:space="0" w:color="auto"/>
            </w:tcBorders>
            <w:shd w:val="clear" w:color="auto" w:fill="auto"/>
          </w:tcPr>
          <w:p w14:paraId="31D9109B"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E647DA" w:rsidRPr="00E647DA" w14:paraId="6DC6602B" w14:textId="77777777" w:rsidTr="001F5F3E">
        <w:trPr>
          <w:jc w:val="center"/>
        </w:trPr>
        <w:tc>
          <w:tcPr>
            <w:tcW w:w="2405" w:type="dxa"/>
            <w:tcBorders>
              <w:top w:val="nil"/>
            </w:tcBorders>
            <w:shd w:val="clear" w:color="auto" w:fill="auto"/>
            <w:vAlign w:val="center"/>
          </w:tcPr>
          <w:p w14:paraId="3C4AF41B" w14:textId="77777777" w:rsidR="00A65ED3" w:rsidRPr="00E647DA" w:rsidRDefault="00A65ED3" w:rsidP="00F65A27">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SECRETARIA</w:t>
            </w:r>
          </w:p>
          <w:p w14:paraId="53CAAD1F" w14:textId="77777777" w:rsidR="00A65ED3" w:rsidRPr="00E647DA" w:rsidRDefault="00A65ED3" w:rsidP="00F65A2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tcBorders>
            <w:shd w:val="clear" w:color="auto" w:fill="auto"/>
          </w:tcPr>
          <w:p w14:paraId="21604ED0" w14:textId="77777777" w:rsidR="00A65ED3" w:rsidRPr="00E647DA" w:rsidRDefault="00A65ED3" w:rsidP="00A65ED3">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A65ED3" w:rsidRPr="00E647DA" w:rsidRDefault="00A65ED3" w:rsidP="00A65ED3">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CARMEN GUADALUPE GONZÁLEZ MARTÍN.</w:t>
            </w:r>
          </w:p>
        </w:tc>
        <w:tc>
          <w:tcPr>
            <w:tcW w:w="2078" w:type="dxa"/>
            <w:tcBorders>
              <w:top w:val="nil"/>
            </w:tcBorders>
            <w:shd w:val="clear" w:color="auto" w:fill="auto"/>
            <w:vAlign w:val="center"/>
          </w:tcPr>
          <w:p w14:paraId="7ECFA0D8" w14:textId="001AD718" w:rsidR="00A65ED3" w:rsidRPr="00E647DA" w:rsidRDefault="001F5F3E" w:rsidP="001F5F3E">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p>
        </w:tc>
        <w:tc>
          <w:tcPr>
            <w:tcW w:w="2410" w:type="dxa"/>
            <w:tcBorders>
              <w:top w:val="nil"/>
            </w:tcBorders>
            <w:shd w:val="clear" w:color="auto" w:fill="auto"/>
          </w:tcPr>
          <w:p w14:paraId="7E5A6AF6"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1A21EF46" w14:textId="77777777" w:rsidTr="001F5F3E">
        <w:trPr>
          <w:jc w:val="center"/>
        </w:trPr>
        <w:tc>
          <w:tcPr>
            <w:tcW w:w="2405" w:type="dxa"/>
            <w:tcBorders>
              <w:bottom w:val="single" w:sz="4" w:space="0" w:color="auto"/>
            </w:tcBorders>
            <w:shd w:val="clear" w:color="auto" w:fill="auto"/>
            <w:vAlign w:val="center"/>
          </w:tcPr>
          <w:p w14:paraId="219867D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3BAC6938"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vAlign w:val="center"/>
          </w:tcPr>
          <w:p w14:paraId="58DF65A4" w14:textId="5C116FA2" w:rsidR="00A65ED3" w:rsidRPr="00E647DA" w:rsidRDefault="001F5F3E" w:rsidP="001F5F3E">
            <w:pPr>
              <w:spacing w:after="0" w:line="240" w:lineRule="auto"/>
              <w:ind w:left="0" w:right="51" w:firstLine="0"/>
              <w:contextualSpacing/>
              <w:jc w:val="center"/>
              <w:rPr>
                <w:rFonts w:eastAsia="Times New Roman"/>
                <w:caps/>
                <w:color w:val="auto"/>
                <w:sz w:val="20"/>
                <w:szCs w:val="20"/>
                <w:lang w:val="pt-BR" w:eastAsia="es-ES"/>
              </w:rPr>
            </w:pPr>
            <w:r>
              <w:rPr>
                <w:rFonts w:eastAsia="Times New Roman"/>
                <w:b/>
                <w:caps/>
                <w:color w:val="auto"/>
                <w:sz w:val="20"/>
                <w:szCs w:val="20"/>
                <w:lang w:eastAsia="es-ES"/>
              </w:rPr>
              <w:t>rúbrica</w:t>
            </w:r>
          </w:p>
        </w:tc>
        <w:tc>
          <w:tcPr>
            <w:tcW w:w="2410" w:type="dxa"/>
            <w:tcBorders>
              <w:bottom w:val="single" w:sz="4" w:space="0" w:color="auto"/>
            </w:tcBorders>
            <w:shd w:val="clear" w:color="auto" w:fill="auto"/>
          </w:tcPr>
          <w:p w14:paraId="0D4B3AF8" w14:textId="77777777" w:rsidR="00A65ED3" w:rsidRPr="00E647DA" w:rsidRDefault="00A65ED3" w:rsidP="00A65ED3">
            <w:pPr>
              <w:spacing w:after="0" w:line="240" w:lineRule="auto"/>
              <w:ind w:left="0" w:right="51" w:firstLine="0"/>
              <w:contextualSpacing/>
              <w:rPr>
                <w:rFonts w:eastAsia="Times New Roman"/>
                <w:caps/>
                <w:color w:val="auto"/>
                <w:sz w:val="20"/>
                <w:szCs w:val="20"/>
                <w:lang w:val="pt-BR" w:eastAsia="es-ES"/>
              </w:rPr>
            </w:pPr>
          </w:p>
        </w:tc>
      </w:tr>
      <w:tr w:rsidR="00A56916" w:rsidRPr="00E647DA" w14:paraId="2651E60F" w14:textId="77777777" w:rsidTr="00A56916">
        <w:trPr>
          <w:jc w:val="center"/>
        </w:trPr>
        <w:tc>
          <w:tcPr>
            <w:tcW w:w="9209" w:type="dxa"/>
            <w:gridSpan w:val="4"/>
            <w:tcBorders>
              <w:top w:val="single" w:sz="4" w:space="0" w:color="auto"/>
              <w:left w:val="nil"/>
              <w:bottom w:val="nil"/>
              <w:right w:val="nil"/>
            </w:tcBorders>
            <w:shd w:val="clear" w:color="auto" w:fill="auto"/>
          </w:tcPr>
          <w:p w14:paraId="17229F9C" w14:textId="77777777" w:rsidR="00A56916" w:rsidRPr="00072D90" w:rsidRDefault="00A56916" w:rsidP="007F6049">
            <w:pPr>
              <w:spacing w:after="0" w:line="240" w:lineRule="auto"/>
              <w:ind w:left="0" w:right="51" w:firstLine="0"/>
              <w:contextualSpacing/>
              <w:rPr>
                <w:rFonts w:eastAsia="Times New Roman"/>
                <w:i/>
                <w:caps/>
                <w:color w:val="auto"/>
                <w:sz w:val="20"/>
                <w:szCs w:val="20"/>
                <w:lang w:val="es-ES" w:eastAsia="es-ES"/>
              </w:rPr>
            </w:pPr>
            <w:r w:rsidRPr="00072D90">
              <w:rPr>
                <w:bCs/>
                <w:i/>
                <w:color w:val="auto"/>
                <w:sz w:val="18"/>
                <w:szCs w:val="16"/>
                <w:lang w:val="es-ES"/>
              </w:rPr>
              <w:t xml:space="preserve">Esta hoja de firmas pertenece al Dictamen de Decreto </w:t>
            </w:r>
            <w:r w:rsidRPr="00072D90">
              <w:rPr>
                <w:i/>
                <w:sz w:val="18"/>
                <w:szCs w:val="16"/>
              </w:rPr>
              <w:t>por el que se autoriza la donación de un bien inmueble del patrimonio estatal a favor de la Auditoría Superior del Estado de Yucatán.</w:t>
            </w:r>
          </w:p>
        </w:tc>
      </w:tr>
      <w:tr w:rsidR="00E647DA" w:rsidRPr="00E647DA" w14:paraId="08DE6D8C" w14:textId="77777777" w:rsidTr="001F5F3E">
        <w:trPr>
          <w:jc w:val="center"/>
        </w:trPr>
        <w:tc>
          <w:tcPr>
            <w:tcW w:w="2405" w:type="dxa"/>
            <w:tcBorders>
              <w:bottom w:val="single" w:sz="4" w:space="0" w:color="auto"/>
            </w:tcBorders>
            <w:shd w:val="clear" w:color="auto" w:fill="auto"/>
            <w:vAlign w:val="center"/>
          </w:tcPr>
          <w:p w14:paraId="472CC8F2"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6E29456A"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vAlign w:val="center"/>
          </w:tcPr>
          <w:p w14:paraId="766DEE6E" w14:textId="23F49170" w:rsidR="00A65ED3" w:rsidRPr="00E647DA" w:rsidRDefault="001F5F3E" w:rsidP="001F5F3E">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p>
        </w:tc>
        <w:tc>
          <w:tcPr>
            <w:tcW w:w="2410" w:type="dxa"/>
            <w:tcBorders>
              <w:bottom w:val="single" w:sz="4" w:space="0" w:color="auto"/>
            </w:tcBorders>
            <w:shd w:val="clear" w:color="auto" w:fill="auto"/>
          </w:tcPr>
          <w:p w14:paraId="7260DBD5"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8B3478" w:rsidRPr="00E647DA" w14:paraId="67C3F354" w14:textId="77777777" w:rsidTr="001F5F3E">
        <w:trPr>
          <w:trHeight w:val="2361"/>
          <w:jc w:val="center"/>
        </w:trPr>
        <w:tc>
          <w:tcPr>
            <w:tcW w:w="2405" w:type="dxa"/>
            <w:tcBorders>
              <w:top w:val="nil"/>
              <w:bottom w:val="single" w:sz="4" w:space="0" w:color="auto"/>
            </w:tcBorders>
            <w:shd w:val="clear" w:color="auto" w:fill="auto"/>
            <w:vAlign w:val="center"/>
          </w:tcPr>
          <w:p w14:paraId="78624369" w14:textId="77777777" w:rsidR="008B3478" w:rsidRPr="00E647DA" w:rsidRDefault="008B3478" w:rsidP="008B3478">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VOCAL </w:t>
            </w:r>
          </w:p>
          <w:p w14:paraId="472122DE" w14:textId="77777777" w:rsidR="008B3478" w:rsidRPr="00E647DA" w:rsidRDefault="008B3478" w:rsidP="008B3478">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16272C18" w14:textId="77777777" w:rsidR="00F65A27" w:rsidRDefault="00F65A27" w:rsidP="008B3478">
            <w:pPr>
              <w:spacing w:after="0" w:line="240" w:lineRule="auto"/>
              <w:ind w:left="0" w:right="0" w:firstLine="0"/>
              <w:contextualSpacing/>
              <w:jc w:val="center"/>
              <w:rPr>
                <w:rFonts w:eastAsia="Times New Roman"/>
                <w:noProof/>
                <w:color w:val="auto"/>
                <w:sz w:val="20"/>
                <w:szCs w:val="20"/>
              </w:rPr>
            </w:pPr>
          </w:p>
          <w:p w14:paraId="5D437E2E" w14:textId="77777777" w:rsidR="008B3478" w:rsidRPr="00E647DA" w:rsidRDefault="008B3478" w:rsidP="008B3478">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253CA68" wp14:editId="68DE3CAE">
                  <wp:extent cx="791296" cy="970280"/>
                  <wp:effectExtent l="0" t="0" r="8890" b="1270"/>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4253" cy="973906"/>
                          </a:xfrm>
                          <a:prstGeom prst="rect">
                            <a:avLst/>
                          </a:prstGeom>
                          <a:noFill/>
                          <a:ln>
                            <a:noFill/>
                          </a:ln>
                        </pic:spPr>
                      </pic:pic>
                    </a:graphicData>
                  </a:graphic>
                </wp:inline>
              </w:drawing>
            </w:r>
          </w:p>
          <w:p w14:paraId="014C9B42" w14:textId="77777777" w:rsidR="008B3478" w:rsidRPr="00E647DA" w:rsidRDefault="008B3478" w:rsidP="008B3478">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vAlign w:val="center"/>
          </w:tcPr>
          <w:p w14:paraId="72ECDFB5" w14:textId="787C4BA1" w:rsidR="008B3478" w:rsidRPr="00E647DA" w:rsidRDefault="001F5F3E" w:rsidP="001F5F3E">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p>
        </w:tc>
        <w:tc>
          <w:tcPr>
            <w:tcW w:w="2410" w:type="dxa"/>
            <w:tcBorders>
              <w:top w:val="nil"/>
              <w:bottom w:val="single" w:sz="4" w:space="0" w:color="auto"/>
            </w:tcBorders>
            <w:shd w:val="clear" w:color="auto" w:fill="auto"/>
          </w:tcPr>
          <w:p w14:paraId="044F0D75" w14:textId="77777777" w:rsidR="008B3478" w:rsidRPr="00E647DA" w:rsidRDefault="008B3478" w:rsidP="008B3478">
            <w:pPr>
              <w:spacing w:after="0" w:line="240" w:lineRule="auto"/>
              <w:ind w:left="0" w:right="51" w:firstLine="0"/>
              <w:contextualSpacing/>
              <w:rPr>
                <w:rFonts w:eastAsia="Times New Roman"/>
                <w:caps/>
                <w:color w:val="auto"/>
                <w:sz w:val="20"/>
                <w:szCs w:val="20"/>
                <w:lang w:val="es-ES" w:eastAsia="es-ES"/>
              </w:rPr>
            </w:pPr>
          </w:p>
        </w:tc>
      </w:tr>
      <w:tr w:rsidR="008B3478" w:rsidRPr="00E647DA" w14:paraId="754B5B49" w14:textId="77777777" w:rsidTr="001F5F3E">
        <w:trPr>
          <w:trHeight w:val="853"/>
          <w:jc w:val="center"/>
        </w:trPr>
        <w:tc>
          <w:tcPr>
            <w:tcW w:w="2405" w:type="dxa"/>
            <w:tcBorders>
              <w:top w:val="nil"/>
              <w:bottom w:val="single" w:sz="4" w:space="0" w:color="auto"/>
            </w:tcBorders>
            <w:shd w:val="clear" w:color="auto" w:fill="auto"/>
            <w:vAlign w:val="center"/>
          </w:tcPr>
          <w:p w14:paraId="12C3DEB1" w14:textId="77777777" w:rsidR="008B3478" w:rsidRPr="00E647DA" w:rsidRDefault="008B3478" w:rsidP="008B3478">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7F42DEB9" w14:textId="77777777" w:rsidR="008B3478" w:rsidRPr="00E647DA" w:rsidRDefault="008B3478" w:rsidP="008B3478">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36768C7" w14:textId="77777777" w:rsidR="008B3478" w:rsidRPr="00E647DA" w:rsidRDefault="008B3478" w:rsidP="008B3478">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8B3478" w:rsidRPr="00E647DA" w:rsidRDefault="008B3478" w:rsidP="008B3478">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vAlign w:val="center"/>
          </w:tcPr>
          <w:p w14:paraId="2827AFA6" w14:textId="536E4670" w:rsidR="008B3478" w:rsidRPr="00E647DA" w:rsidRDefault="001F5F3E" w:rsidP="001F5F3E">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p>
        </w:tc>
        <w:tc>
          <w:tcPr>
            <w:tcW w:w="2410" w:type="dxa"/>
            <w:tcBorders>
              <w:top w:val="nil"/>
              <w:bottom w:val="single" w:sz="4" w:space="0" w:color="auto"/>
            </w:tcBorders>
            <w:shd w:val="clear" w:color="auto" w:fill="auto"/>
          </w:tcPr>
          <w:p w14:paraId="158A4A26" w14:textId="77777777" w:rsidR="008B3478" w:rsidRPr="00E647DA" w:rsidRDefault="008B3478" w:rsidP="008B3478">
            <w:pPr>
              <w:spacing w:after="0" w:line="240" w:lineRule="auto"/>
              <w:ind w:left="0" w:right="51" w:firstLine="0"/>
              <w:contextualSpacing/>
              <w:rPr>
                <w:rFonts w:eastAsia="Times New Roman"/>
                <w:caps/>
                <w:color w:val="auto"/>
                <w:sz w:val="20"/>
                <w:szCs w:val="20"/>
                <w:lang w:val="es-ES" w:eastAsia="es-ES"/>
              </w:rPr>
            </w:pPr>
          </w:p>
        </w:tc>
      </w:tr>
      <w:tr w:rsidR="008B3478" w:rsidRPr="00E647DA" w14:paraId="02A2CDE6" w14:textId="77777777" w:rsidTr="001F5F3E">
        <w:trPr>
          <w:jc w:val="center"/>
        </w:trPr>
        <w:tc>
          <w:tcPr>
            <w:tcW w:w="2405" w:type="dxa"/>
            <w:tcBorders>
              <w:top w:val="nil"/>
              <w:bottom w:val="single" w:sz="4" w:space="0" w:color="auto"/>
            </w:tcBorders>
            <w:shd w:val="clear" w:color="auto" w:fill="auto"/>
            <w:vAlign w:val="center"/>
          </w:tcPr>
          <w:p w14:paraId="1BB81D4A" w14:textId="77777777" w:rsidR="008B3478" w:rsidRPr="00E647DA" w:rsidRDefault="008B3478" w:rsidP="008B3478">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01486605" w14:textId="77777777" w:rsidR="008B3478" w:rsidRPr="00E647DA" w:rsidRDefault="008B3478" w:rsidP="008B3478">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8B3478" w:rsidRPr="00E647DA" w:rsidRDefault="008B3478" w:rsidP="008B3478">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8B3478" w:rsidRPr="00E647DA" w:rsidRDefault="008B3478" w:rsidP="008B3478">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7C4CA5A" w14:textId="649B8C4C" w:rsidR="008B3478" w:rsidRPr="00E647DA" w:rsidRDefault="008B3478" w:rsidP="001F5F3E">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vAlign w:val="center"/>
          </w:tcPr>
          <w:p w14:paraId="7393A80C" w14:textId="489126B5" w:rsidR="008B3478" w:rsidRPr="00E647DA" w:rsidRDefault="001F5F3E" w:rsidP="001F5F3E">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p>
        </w:tc>
      </w:tr>
      <w:tr w:rsidR="008B3478" w:rsidRPr="00072D90" w14:paraId="4320EB27" w14:textId="77777777" w:rsidTr="00072D90">
        <w:trPr>
          <w:trHeight w:val="147"/>
          <w:jc w:val="center"/>
        </w:trPr>
        <w:tc>
          <w:tcPr>
            <w:tcW w:w="9209" w:type="dxa"/>
            <w:gridSpan w:val="4"/>
            <w:tcBorders>
              <w:top w:val="single" w:sz="4" w:space="0" w:color="auto"/>
              <w:left w:val="nil"/>
              <w:bottom w:val="nil"/>
              <w:right w:val="nil"/>
            </w:tcBorders>
            <w:shd w:val="clear" w:color="auto" w:fill="auto"/>
          </w:tcPr>
          <w:p w14:paraId="2F96B16A" w14:textId="1FD9C9AE" w:rsidR="008B3478" w:rsidRPr="00072D90" w:rsidRDefault="00565E28" w:rsidP="008B3478">
            <w:pPr>
              <w:spacing w:after="0" w:line="240" w:lineRule="auto"/>
              <w:ind w:left="0" w:right="51" w:firstLine="0"/>
              <w:contextualSpacing/>
              <w:rPr>
                <w:rFonts w:eastAsia="Times New Roman"/>
                <w:i/>
                <w:caps/>
                <w:color w:val="auto"/>
                <w:sz w:val="18"/>
                <w:szCs w:val="16"/>
                <w:lang w:val="es-ES" w:eastAsia="es-ES"/>
              </w:rPr>
            </w:pPr>
            <w:r w:rsidRPr="00072D90">
              <w:rPr>
                <w:bCs/>
                <w:i/>
                <w:color w:val="auto"/>
                <w:sz w:val="18"/>
                <w:szCs w:val="16"/>
                <w:lang w:val="es-ES"/>
              </w:rPr>
              <w:t xml:space="preserve">Esta hoja de firmas pertenece al Dictamen de Decreto </w:t>
            </w:r>
            <w:r w:rsidRPr="00072D90">
              <w:rPr>
                <w:i/>
                <w:sz w:val="18"/>
                <w:szCs w:val="16"/>
              </w:rPr>
              <w:t xml:space="preserve">por </w:t>
            </w:r>
            <w:r w:rsidR="00DB72B7" w:rsidRPr="00072D90">
              <w:rPr>
                <w:i/>
                <w:sz w:val="18"/>
                <w:szCs w:val="16"/>
              </w:rPr>
              <w:t>el que se autoriza la donación de un bien in</w:t>
            </w:r>
            <w:bookmarkStart w:id="1" w:name="_GoBack"/>
            <w:bookmarkEnd w:id="1"/>
            <w:r w:rsidR="00DB72B7" w:rsidRPr="00072D90">
              <w:rPr>
                <w:i/>
                <w:sz w:val="18"/>
                <w:szCs w:val="16"/>
              </w:rPr>
              <w:t>mueble del patrimonio estatal a favor de la Auditoría Superior del Estado de Yucatán.</w:t>
            </w:r>
          </w:p>
        </w:tc>
      </w:tr>
    </w:tbl>
    <w:p w14:paraId="00A1B0B7" w14:textId="701CC513" w:rsidR="003238C9" w:rsidRPr="00E647DA" w:rsidRDefault="003238C9" w:rsidP="00A65ED3">
      <w:pPr>
        <w:spacing w:after="0"/>
        <w:ind w:left="0" w:firstLine="0"/>
        <w:rPr>
          <w:color w:val="auto"/>
          <w:sz w:val="18"/>
          <w:szCs w:val="18"/>
        </w:rPr>
      </w:pPr>
    </w:p>
    <w:sectPr w:rsidR="003238C9" w:rsidRPr="00E647DA"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1F5F3E" w:rsidRPr="001F5F3E">
          <w:rPr>
            <w:rFonts w:ascii="Arial" w:hAnsi="Arial" w:cs="Arial"/>
            <w:noProof/>
            <w:lang w:val="es-ES"/>
          </w:rPr>
          <w:t>15</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03CE0"/>
    <w:multiLevelType w:val="hybridMultilevel"/>
    <w:tmpl w:val="32C4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421D8B"/>
    <w:multiLevelType w:val="hybridMultilevel"/>
    <w:tmpl w:val="4C98FC8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4"/>
  </w:num>
  <w:num w:numId="4">
    <w:abstractNumId w:val="11"/>
  </w:num>
  <w:num w:numId="5">
    <w:abstractNumId w:val="5"/>
  </w:num>
  <w:num w:numId="6">
    <w:abstractNumId w:val="14"/>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2"/>
  </w:num>
  <w:num w:numId="12">
    <w:abstractNumId w:val="3"/>
  </w:num>
  <w:num w:numId="13">
    <w:abstractNumId w:val="1"/>
  </w:num>
  <w:num w:numId="14">
    <w:abstractNumId w:val="9"/>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793"/>
    <w:rsid w:val="00000BB3"/>
    <w:rsid w:val="00000C33"/>
    <w:rsid w:val="0000104F"/>
    <w:rsid w:val="0000177A"/>
    <w:rsid w:val="00001E11"/>
    <w:rsid w:val="000062DE"/>
    <w:rsid w:val="00006B27"/>
    <w:rsid w:val="000114F9"/>
    <w:rsid w:val="000116E1"/>
    <w:rsid w:val="00012802"/>
    <w:rsid w:val="00015D29"/>
    <w:rsid w:val="000178FF"/>
    <w:rsid w:val="00020365"/>
    <w:rsid w:val="0002052A"/>
    <w:rsid w:val="00020F83"/>
    <w:rsid w:val="00021196"/>
    <w:rsid w:val="00022400"/>
    <w:rsid w:val="00023BCC"/>
    <w:rsid w:val="00027EFA"/>
    <w:rsid w:val="0003020A"/>
    <w:rsid w:val="000326D6"/>
    <w:rsid w:val="00033562"/>
    <w:rsid w:val="00033D2A"/>
    <w:rsid w:val="00034F57"/>
    <w:rsid w:val="00036994"/>
    <w:rsid w:val="00036FBD"/>
    <w:rsid w:val="00040325"/>
    <w:rsid w:val="0004099C"/>
    <w:rsid w:val="000411C1"/>
    <w:rsid w:val="00041B7E"/>
    <w:rsid w:val="00042096"/>
    <w:rsid w:val="00042A1F"/>
    <w:rsid w:val="00042B91"/>
    <w:rsid w:val="000456BB"/>
    <w:rsid w:val="00045FEC"/>
    <w:rsid w:val="000466B6"/>
    <w:rsid w:val="000505ED"/>
    <w:rsid w:val="00054678"/>
    <w:rsid w:val="000555B3"/>
    <w:rsid w:val="00055C53"/>
    <w:rsid w:val="000562E0"/>
    <w:rsid w:val="0005737A"/>
    <w:rsid w:val="0006074B"/>
    <w:rsid w:val="000611DB"/>
    <w:rsid w:val="00061280"/>
    <w:rsid w:val="000628D2"/>
    <w:rsid w:val="00062E48"/>
    <w:rsid w:val="00063A15"/>
    <w:rsid w:val="00063F97"/>
    <w:rsid w:val="00070B5E"/>
    <w:rsid w:val="000712F6"/>
    <w:rsid w:val="000718FE"/>
    <w:rsid w:val="000727B0"/>
    <w:rsid w:val="00072D90"/>
    <w:rsid w:val="000735AB"/>
    <w:rsid w:val="00073B6A"/>
    <w:rsid w:val="0007544E"/>
    <w:rsid w:val="00075B69"/>
    <w:rsid w:val="0007627C"/>
    <w:rsid w:val="00081173"/>
    <w:rsid w:val="00082744"/>
    <w:rsid w:val="00082CF2"/>
    <w:rsid w:val="00082DFB"/>
    <w:rsid w:val="00082E6E"/>
    <w:rsid w:val="000838D3"/>
    <w:rsid w:val="00085D02"/>
    <w:rsid w:val="00086021"/>
    <w:rsid w:val="0008640A"/>
    <w:rsid w:val="00086731"/>
    <w:rsid w:val="000908F3"/>
    <w:rsid w:val="00093865"/>
    <w:rsid w:val="00093A27"/>
    <w:rsid w:val="0009483C"/>
    <w:rsid w:val="00095BF0"/>
    <w:rsid w:val="000972A5"/>
    <w:rsid w:val="0009751D"/>
    <w:rsid w:val="000A0571"/>
    <w:rsid w:val="000A0AFE"/>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B5210"/>
    <w:rsid w:val="000B7D83"/>
    <w:rsid w:val="000C0E16"/>
    <w:rsid w:val="000C18E2"/>
    <w:rsid w:val="000C296E"/>
    <w:rsid w:val="000C35CF"/>
    <w:rsid w:val="000C37BC"/>
    <w:rsid w:val="000C38B3"/>
    <w:rsid w:val="000C524D"/>
    <w:rsid w:val="000C677F"/>
    <w:rsid w:val="000C6DF2"/>
    <w:rsid w:val="000C7284"/>
    <w:rsid w:val="000C7BCC"/>
    <w:rsid w:val="000D0556"/>
    <w:rsid w:val="000D0700"/>
    <w:rsid w:val="000D0727"/>
    <w:rsid w:val="000D0D28"/>
    <w:rsid w:val="000D21CD"/>
    <w:rsid w:val="000D2740"/>
    <w:rsid w:val="000D3215"/>
    <w:rsid w:val="000D5C62"/>
    <w:rsid w:val="000D7962"/>
    <w:rsid w:val="000D7B54"/>
    <w:rsid w:val="000E2FB0"/>
    <w:rsid w:val="000E3041"/>
    <w:rsid w:val="000E4FFA"/>
    <w:rsid w:val="000E5918"/>
    <w:rsid w:val="000E7C02"/>
    <w:rsid w:val="000F1B7B"/>
    <w:rsid w:val="000F2910"/>
    <w:rsid w:val="000F46E4"/>
    <w:rsid w:val="000F4AAD"/>
    <w:rsid w:val="000F62A1"/>
    <w:rsid w:val="000F7398"/>
    <w:rsid w:val="00100B94"/>
    <w:rsid w:val="00101040"/>
    <w:rsid w:val="0010135A"/>
    <w:rsid w:val="00101C60"/>
    <w:rsid w:val="0010302F"/>
    <w:rsid w:val="00103912"/>
    <w:rsid w:val="00103D2B"/>
    <w:rsid w:val="0010479B"/>
    <w:rsid w:val="001050A9"/>
    <w:rsid w:val="0010538E"/>
    <w:rsid w:val="0010582E"/>
    <w:rsid w:val="00106093"/>
    <w:rsid w:val="00106264"/>
    <w:rsid w:val="0011102B"/>
    <w:rsid w:val="00112323"/>
    <w:rsid w:val="0011304A"/>
    <w:rsid w:val="00113978"/>
    <w:rsid w:val="001139C2"/>
    <w:rsid w:val="00113C9C"/>
    <w:rsid w:val="00113D71"/>
    <w:rsid w:val="00113EF9"/>
    <w:rsid w:val="0011461E"/>
    <w:rsid w:val="00115C55"/>
    <w:rsid w:val="00115F14"/>
    <w:rsid w:val="0011767D"/>
    <w:rsid w:val="001179FA"/>
    <w:rsid w:val="00120734"/>
    <w:rsid w:val="001218EC"/>
    <w:rsid w:val="00121EB5"/>
    <w:rsid w:val="0012317C"/>
    <w:rsid w:val="00125110"/>
    <w:rsid w:val="00125E7C"/>
    <w:rsid w:val="00126CB3"/>
    <w:rsid w:val="001277FB"/>
    <w:rsid w:val="00130925"/>
    <w:rsid w:val="00130EF8"/>
    <w:rsid w:val="001315A1"/>
    <w:rsid w:val="00132F4B"/>
    <w:rsid w:val="001338A6"/>
    <w:rsid w:val="00133994"/>
    <w:rsid w:val="0013588E"/>
    <w:rsid w:val="001365AF"/>
    <w:rsid w:val="001366D7"/>
    <w:rsid w:val="00136C36"/>
    <w:rsid w:val="00141081"/>
    <w:rsid w:val="00142AF3"/>
    <w:rsid w:val="001433D5"/>
    <w:rsid w:val="001437E3"/>
    <w:rsid w:val="00143DAC"/>
    <w:rsid w:val="001443FF"/>
    <w:rsid w:val="00144931"/>
    <w:rsid w:val="00146ABC"/>
    <w:rsid w:val="001474E6"/>
    <w:rsid w:val="00147520"/>
    <w:rsid w:val="00147A9F"/>
    <w:rsid w:val="00150BEA"/>
    <w:rsid w:val="00151934"/>
    <w:rsid w:val="00152BFD"/>
    <w:rsid w:val="00152DB2"/>
    <w:rsid w:val="001530B0"/>
    <w:rsid w:val="00153705"/>
    <w:rsid w:val="0015441A"/>
    <w:rsid w:val="0015460C"/>
    <w:rsid w:val="00154B88"/>
    <w:rsid w:val="00154C5F"/>
    <w:rsid w:val="001555F6"/>
    <w:rsid w:val="00155DA2"/>
    <w:rsid w:val="00155E70"/>
    <w:rsid w:val="00156AE5"/>
    <w:rsid w:val="00156E99"/>
    <w:rsid w:val="001572E6"/>
    <w:rsid w:val="0015786F"/>
    <w:rsid w:val="001579B1"/>
    <w:rsid w:val="001603A5"/>
    <w:rsid w:val="0016101D"/>
    <w:rsid w:val="001621E6"/>
    <w:rsid w:val="001628C7"/>
    <w:rsid w:val="00162C34"/>
    <w:rsid w:val="0016469E"/>
    <w:rsid w:val="00164BF3"/>
    <w:rsid w:val="00165FF8"/>
    <w:rsid w:val="00171475"/>
    <w:rsid w:val="001736CF"/>
    <w:rsid w:val="00173A20"/>
    <w:rsid w:val="001753F5"/>
    <w:rsid w:val="00180EA2"/>
    <w:rsid w:val="00181664"/>
    <w:rsid w:val="00181922"/>
    <w:rsid w:val="00181956"/>
    <w:rsid w:val="00182E07"/>
    <w:rsid w:val="0018314C"/>
    <w:rsid w:val="00184BD5"/>
    <w:rsid w:val="0018579B"/>
    <w:rsid w:val="00187255"/>
    <w:rsid w:val="001924DA"/>
    <w:rsid w:val="00192B13"/>
    <w:rsid w:val="001947DE"/>
    <w:rsid w:val="00194B60"/>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5FD8"/>
    <w:rsid w:val="001B6017"/>
    <w:rsid w:val="001C0C85"/>
    <w:rsid w:val="001C1215"/>
    <w:rsid w:val="001C20C7"/>
    <w:rsid w:val="001C3B18"/>
    <w:rsid w:val="001C52A3"/>
    <w:rsid w:val="001C5603"/>
    <w:rsid w:val="001C5BF1"/>
    <w:rsid w:val="001C6020"/>
    <w:rsid w:val="001C7067"/>
    <w:rsid w:val="001D01FB"/>
    <w:rsid w:val="001D5481"/>
    <w:rsid w:val="001D6680"/>
    <w:rsid w:val="001D66CD"/>
    <w:rsid w:val="001D6C9A"/>
    <w:rsid w:val="001D7263"/>
    <w:rsid w:val="001E0563"/>
    <w:rsid w:val="001E0710"/>
    <w:rsid w:val="001E08EA"/>
    <w:rsid w:val="001E0AB3"/>
    <w:rsid w:val="001E0BF4"/>
    <w:rsid w:val="001E0D11"/>
    <w:rsid w:val="001E20BB"/>
    <w:rsid w:val="001E2144"/>
    <w:rsid w:val="001E325C"/>
    <w:rsid w:val="001E3703"/>
    <w:rsid w:val="001E3B7D"/>
    <w:rsid w:val="001E41BE"/>
    <w:rsid w:val="001E41D8"/>
    <w:rsid w:val="001E4B52"/>
    <w:rsid w:val="001E6240"/>
    <w:rsid w:val="001E6AC1"/>
    <w:rsid w:val="001F0B6D"/>
    <w:rsid w:val="001F36C4"/>
    <w:rsid w:val="001F433F"/>
    <w:rsid w:val="001F5603"/>
    <w:rsid w:val="001F5F3E"/>
    <w:rsid w:val="001F6687"/>
    <w:rsid w:val="001F6755"/>
    <w:rsid w:val="00200049"/>
    <w:rsid w:val="002008C9"/>
    <w:rsid w:val="00201AAA"/>
    <w:rsid w:val="00201E2D"/>
    <w:rsid w:val="0020208D"/>
    <w:rsid w:val="00204187"/>
    <w:rsid w:val="00204DC4"/>
    <w:rsid w:val="00205719"/>
    <w:rsid w:val="00205A90"/>
    <w:rsid w:val="00211BD5"/>
    <w:rsid w:val="002127C8"/>
    <w:rsid w:val="00212FEB"/>
    <w:rsid w:val="00216E5E"/>
    <w:rsid w:val="00223310"/>
    <w:rsid w:val="00225345"/>
    <w:rsid w:val="00225406"/>
    <w:rsid w:val="00225955"/>
    <w:rsid w:val="00225A79"/>
    <w:rsid w:val="00230D34"/>
    <w:rsid w:val="00232376"/>
    <w:rsid w:val="002326FA"/>
    <w:rsid w:val="002331D9"/>
    <w:rsid w:val="00235508"/>
    <w:rsid w:val="002358C0"/>
    <w:rsid w:val="00235FF6"/>
    <w:rsid w:val="00236AEF"/>
    <w:rsid w:val="00241F8D"/>
    <w:rsid w:val="00244760"/>
    <w:rsid w:val="00245BC7"/>
    <w:rsid w:val="0024623A"/>
    <w:rsid w:val="00246D2D"/>
    <w:rsid w:val="0025187C"/>
    <w:rsid w:val="00252EFC"/>
    <w:rsid w:val="00253CAF"/>
    <w:rsid w:val="00255CDB"/>
    <w:rsid w:val="00260B39"/>
    <w:rsid w:val="00261B8F"/>
    <w:rsid w:val="002626A4"/>
    <w:rsid w:val="00262B7F"/>
    <w:rsid w:val="002659A9"/>
    <w:rsid w:val="00265D74"/>
    <w:rsid w:val="0026655D"/>
    <w:rsid w:val="00266801"/>
    <w:rsid w:val="002679ED"/>
    <w:rsid w:val="00270AA1"/>
    <w:rsid w:val="002745FF"/>
    <w:rsid w:val="00274629"/>
    <w:rsid w:val="00274DA9"/>
    <w:rsid w:val="002750AD"/>
    <w:rsid w:val="00275794"/>
    <w:rsid w:val="0027696D"/>
    <w:rsid w:val="002770A1"/>
    <w:rsid w:val="00277AC5"/>
    <w:rsid w:val="00277B0B"/>
    <w:rsid w:val="00281C2C"/>
    <w:rsid w:val="00281FB3"/>
    <w:rsid w:val="0028213F"/>
    <w:rsid w:val="0028264A"/>
    <w:rsid w:val="002845DF"/>
    <w:rsid w:val="00284629"/>
    <w:rsid w:val="00284BF0"/>
    <w:rsid w:val="0028596B"/>
    <w:rsid w:val="00286ED7"/>
    <w:rsid w:val="0028717F"/>
    <w:rsid w:val="00287AE7"/>
    <w:rsid w:val="00290288"/>
    <w:rsid w:val="002907BC"/>
    <w:rsid w:val="00290823"/>
    <w:rsid w:val="00291BCA"/>
    <w:rsid w:val="00291C44"/>
    <w:rsid w:val="00293409"/>
    <w:rsid w:val="00293575"/>
    <w:rsid w:val="00296B11"/>
    <w:rsid w:val="00297DC5"/>
    <w:rsid w:val="002A0091"/>
    <w:rsid w:val="002A36E4"/>
    <w:rsid w:val="002A43E8"/>
    <w:rsid w:val="002A5680"/>
    <w:rsid w:val="002A6B12"/>
    <w:rsid w:val="002A6B58"/>
    <w:rsid w:val="002A6DDB"/>
    <w:rsid w:val="002A7C64"/>
    <w:rsid w:val="002B059E"/>
    <w:rsid w:val="002B1DBA"/>
    <w:rsid w:val="002B1ED0"/>
    <w:rsid w:val="002B568E"/>
    <w:rsid w:val="002B5A5A"/>
    <w:rsid w:val="002B6DBE"/>
    <w:rsid w:val="002C0781"/>
    <w:rsid w:val="002C0990"/>
    <w:rsid w:val="002C0BC3"/>
    <w:rsid w:val="002C1550"/>
    <w:rsid w:val="002C297D"/>
    <w:rsid w:val="002C34F4"/>
    <w:rsid w:val="002C4335"/>
    <w:rsid w:val="002C613A"/>
    <w:rsid w:val="002C79F3"/>
    <w:rsid w:val="002D21AA"/>
    <w:rsid w:val="002D2386"/>
    <w:rsid w:val="002D3052"/>
    <w:rsid w:val="002D36C1"/>
    <w:rsid w:val="002D4277"/>
    <w:rsid w:val="002D46A3"/>
    <w:rsid w:val="002D7905"/>
    <w:rsid w:val="002E0614"/>
    <w:rsid w:val="002E2051"/>
    <w:rsid w:val="002E2E91"/>
    <w:rsid w:val="002E3D60"/>
    <w:rsid w:val="002E5966"/>
    <w:rsid w:val="002E66DB"/>
    <w:rsid w:val="002E7147"/>
    <w:rsid w:val="002E7829"/>
    <w:rsid w:val="002F0639"/>
    <w:rsid w:val="002F0D18"/>
    <w:rsid w:val="002F1EEF"/>
    <w:rsid w:val="002F2B84"/>
    <w:rsid w:val="002F2BFF"/>
    <w:rsid w:val="002F3AA8"/>
    <w:rsid w:val="002F3F72"/>
    <w:rsid w:val="002F72B8"/>
    <w:rsid w:val="00300149"/>
    <w:rsid w:val="00301D95"/>
    <w:rsid w:val="003041E5"/>
    <w:rsid w:val="00306536"/>
    <w:rsid w:val="003074BF"/>
    <w:rsid w:val="0030753C"/>
    <w:rsid w:val="00310BC0"/>
    <w:rsid w:val="00311039"/>
    <w:rsid w:val="00311CDA"/>
    <w:rsid w:val="003144D3"/>
    <w:rsid w:val="00314BB9"/>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2751A"/>
    <w:rsid w:val="00330406"/>
    <w:rsid w:val="0033075B"/>
    <w:rsid w:val="00330C12"/>
    <w:rsid w:val="0033385B"/>
    <w:rsid w:val="00333C3B"/>
    <w:rsid w:val="00333E4F"/>
    <w:rsid w:val="00334486"/>
    <w:rsid w:val="003424A5"/>
    <w:rsid w:val="00342CC8"/>
    <w:rsid w:val="00343123"/>
    <w:rsid w:val="00343A04"/>
    <w:rsid w:val="00343BEF"/>
    <w:rsid w:val="003440CC"/>
    <w:rsid w:val="003448B8"/>
    <w:rsid w:val="00345EA6"/>
    <w:rsid w:val="00346A7A"/>
    <w:rsid w:val="00347E04"/>
    <w:rsid w:val="00351C47"/>
    <w:rsid w:val="00352955"/>
    <w:rsid w:val="0035300A"/>
    <w:rsid w:val="00354180"/>
    <w:rsid w:val="00354D08"/>
    <w:rsid w:val="00356003"/>
    <w:rsid w:val="00357881"/>
    <w:rsid w:val="00357E64"/>
    <w:rsid w:val="00360E8B"/>
    <w:rsid w:val="00360EC2"/>
    <w:rsid w:val="00361B55"/>
    <w:rsid w:val="0036262E"/>
    <w:rsid w:val="00362BD4"/>
    <w:rsid w:val="003707E1"/>
    <w:rsid w:val="00371D84"/>
    <w:rsid w:val="00372703"/>
    <w:rsid w:val="00373282"/>
    <w:rsid w:val="00374306"/>
    <w:rsid w:val="00374961"/>
    <w:rsid w:val="00374C94"/>
    <w:rsid w:val="0037574E"/>
    <w:rsid w:val="003767AB"/>
    <w:rsid w:val="0037748E"/>
    <w:rsid w:val="0037785C"/>
    <w:rsid w:val="00380305"/>
    <w:rsid w:val="0038519B"/>
    <w:rsid w:val="003853DB"/>
    <w:rsid w:val="00386377"/>
    <w:rsid w:val="00387099"/>
    <w:rsid w:val="00387455"/>
    <w:rsid w:val="003917AC"/>
    <w:rsid w:val="00391C46"/>
    <w:rsid w:val="003924CD"/>
    <w:rsid w:val="00393099"/>
    <w:rsid w:val="0039385A"/>
    <w:rsid w:val="003939B8"/>
    <w:rsid w:val="00394404"/>
    <w:rsid w:val="00394CE1"/>
    <w:rsid w:val="00394F24"/>
    <w:rsid w:val="00395B9F"/>
    <w:rsid w:val="003970FD"/>
    <w:rsid w:val="00397943"/>
    <w:rsid w:val="003A04BD"/>
    <w:rsid w:val="003A088D"/>
    <w:rsid w:val="003A1127"/>
    <w:rsid w:val="003A1FC4"/>
    <w:rsid w:val="003A230C"/>
    <w:rsid w:val="003A3EDB"/>
    <w:rsid w:val="003A7C58"/>
    <w:rsid w:val="003B3B27"/>
    <w:rsid w:val="003B4EA0"/>
    <w:rsid w:val="003B6488"/>
    <w:rsid w:val="003B66D5"/>
    <w:rsid w:val="003B6E6F"/>
    <w:rsid w:val="003B7664"/>
    <w:rsid w:val="003B7E94"/>
    <w:rsid w:val="003C187C"/>
    <w:rsid w:val="003C247F"/>
    <w:rsid w:val="003C54EB"/>
    <w:rsid w:val="003C5959"/>
    <w:rsid w:val="003C6E7B"/>
    <w:rsid w:val="003D0575"/>
    <w:rsid w:val="003D09A4"/>
    <w:rsid w:val="003D2137"/>
    <w:rsid w:val="003D25B7"/>
    <w:rsid w:val="003D3172"/>
    <w:rsid w:val="003D43A5"/>
    <w:rsid w:val="003D53D0"/>
    <w:rsid w:val="003D5BE1"/>
    <w:rsid w:val="003D6CD1"/>
    <w:rsid w:val="003E308A"/>
    <w:rsid w:val="003E31E6"/>
    <w:rsid w:val="003E55BD"/>
    <w:rsid w:val="003E680E"/>
    <w:rsid w:val="003E79B5"/>
    <w:rsid w:val="003F0059"/>
    <w:rsid w:val="003F04A7"/>
    <w:rsid w:val="003F04D1"/>
    <w:rsid w:val="003F090C"/>
    <w:rsid w:val="003F0D24"/>
    <w:rsid w:val="003F0DED"/>
    <w:rsid w:val="003F0FF2"/>
    <w:rsid w:val="003F10B0"/>
    <w:rsid w:val="003F17B3"/>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7EF"/>
    <w:rsid w:val="00412851"/>
    <w:rsid w:val="00414D70"/>
    <w:rsid w:val="00416265"/>
    <w:rsid w:val="00416F39"/>
    <w:rsid w:val="00417905"/>
    <w:rsid w:val="0042119C"/>
    <w:rsid w:val="00421901"/>
    <w:rsid w:val="0042257B"/>
    <w:rsid w:val="00422942"/>
    <w:rsid w:val="004230F8"/>
    <w:rsid w:val="004234F8"/>
    <w:rsid w:val="004238C2"/>
    <w:rsid w:val="00423EC9"/>
    <w:rsid w:val="00424660"/>
    <w:rsid w:val="00425BE0"/>
    <w:rsid w:val="00425DA0"/>
    <w:rsid w:val="00426E69"/>
    <w:rsid w:val="004271F5"/>
    <w:rsid w:val="00430306"/>
    <w:rsid w:val="0043074A"/>
    <w:rsid w:val="00431985"/>
    <w:rsid w:val="00431E08"/>
    <w:rsid w:val="00432692"/>
    <w:rsid w:val="004349BD"/>
    <w:rsid w:val="00435EAF"/>
    <w:rsid w:val="00436F6C"/>
    <w:rsid w:val="00437817"/>
    <w:rsid w:val="0044125E"/>
    <w:rsid w:val="0044159A"/>
    <w:rsid w:val="00443A99"/>
    <w:rsid w:val="004458A0"/>
    <w:rsid w:val="00447C98"/>
    <w:rsid w:val="00450512"/>
    <w:rsid w:val="00451177"/>
    <w:rsid w:val="00451CA2"/>
    <w:rsid w:val="00451EE7"/>
    <w:rsid w:val="00452FC0"/>
    <w:rsid w:val="004560BC"/>
    <w:rsid w:val="004563DB"/>
    <w:rsid w:val="004569A6"/>
    <w:rsid w:val="004569F4"/>
    <w:rsid w:val="004575C0"/>
    <w:rsid w:val="00460269"/>
    <w:rsid w:val="00460F16"/>
    <w:rsid w:val="00462736"/>
    <w:rsid w:val="004629AE"/>
    <w:rsid w:val="00462F96"/>
    <w:rsid w:val="00463512"/>
    <w:rsid w:val="0046436E"/>
    <w:rsid w:val="00467A91"/>
    <w:rsid w:val="00467FA2"/>
    <w:rsid w:val="0047164C"/>
    <w:rsid w:val="00471A9B"/>
    <w:rsid w:val="004725A4"/>
    <w:rsid w:val="00472894"/>
    <w:rsid w:val="00472AFA"/>
    <w:rsid w:val="0047471B"/>
    <w:rsid w:val="004753FF"/>
    <w:rsid w:val="00475766"/>
    <w:rsid w:val="004761DF"/>
    <w:rsid w:val="0047793F"/>
    <w:rsid w:val="00477D95"/>
    <w:rsid w:val="00480E6C"/>
    <w:rsid w:val="004823FD"/>
    <w:rsid w:val="00482C82"/>
    <w:rsid w:val="00482CC1"/>
    <w:rsid w:val="0048335C"/>
    <w:rsid w:val="00483C25"/>
    <w:rsid w:val="0048400C"/>
    <w:rsid w:val="00484024"/>
    <w:rsid w:val="00484527"/>
    <w:rsid w:val="00485B45"/>
    <w:rsid w:val="00485E62"/>
    <w:rsid w:val="004876D0"/>
    <w:rsid w:val="0049057B"/>
    <w:rsid w:val="004943B0"/>
    <w:rsid w:val="00494FFD"/>
    <w:rsid w:val="00495049"/>
    <w:rsid w:val="00495916"/>
    <w:rsid w:val="00495C2E"/>
    <w:rsid w:val="004960CC"/>
    <w:rsid w:val="004967BE"/>
    <w:rsid w:val="004974E3"/>
    <w:rsid w:val="00497941"/>
    <w:rsid w:val="004A0938"/>
    <w:rsid w:val="004A27A4"/>
    <w:rsid w:val="004A3840"/>
    <w:rsid w:val="004A3CE4"/>
    <w:rsid w:val="004A6910"/>
    <w:rsid w:val="004A6FA5"/>
    <w:rsid w:val="004A7222"/>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45A"/>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01A"/>
    <w:rsid w:val="004D4896"/>
    <w:rsid w:val="004D4DDD"/>
    <w:rsid w:val="004D5A74"/>
    <w:rsid w:val="004D60F5"/>
    <w:rsid w:val="004D7F1F"/>
    <w:rsid w:val="004E1584"/>
    <w:rsid w:val="004E1691"/>
    <w:rsid w:val="004E1A9F"/>
    <w:rsid w:val="004E2ABB"/>
    <w:rsid w:val="004E4499"/>
    <w:rsid w:val="004E4FC4"/>
    <w:rsid w:val="004E5CAA"/>
    <w:rsid w:val="004E65EB"/>
    <w:rsid w:val="004E6BC0"/>
    <w:rsid w:val="004F03F7"/>
    <w:rsid w:val="004F5445"/>
    <w:rsid w:val="004F677D"/>
    <w:rsid w:val="004F6FF3"/>
    <w:rsid w:val="004F7F21"/>
    <w:rsid w:val="005008E9"/>
    <w:rsid w:val="00503B28"/>
    <w:rsid w:val="0050570B"/>
    <w:rsid w:val="00506355"/>
    <w:rsid w:val="00507BBE"/>
    <w:rsid w:val="00507E03"/>
    <w:rsid w:val="0051012E"/>
    <w:rsid w:val="005108B0"/>
    <w:rsid w:val="005109B0"/>
    <w:rsid w:val="0051151D"/>
    <w:rsid w:val="00511BBC"/>
    <w:rsid w:val="00511F45"/>
    <w:rsid w:val="00514FCC"/>
    <w:rsid w:val="00515209"/>
    <w:rsid w:val="00517952"/>
    <w:rsid w:val="00520B7D"/>
    <w:rsid w:val="005219AC"/>
    <w:rsid w:val="005234CB"/>
    <w:rsid w:val="00523943"/>
    <w:rsid w:val="00523AA0"/>
    <w:rsid w:val="00523F5F"/>
    <w:rsid w:val="005244EA"/>
    <w:rsid w:val="00524C60"/>
    <w:rsid w:val="0052554A"/>
    <w:rsid w:val="00526068"/>
    <w:rsid w:val="0052738F"/>
    <w:rsid w:val="00531FF2"/>
    <w:rsid w:val="005334AF"/>
    <w:rsid w:val="00533AD6"/>
    <w:rsid w:val="00533C92"/>
    <w:rsid w:val="00535D5B"/>
    <w:rsid w:val="00536621"/>
    <w:rsid w:val="005370EB"/>
    <w:rsid w:val="005415BF"/>
    <w:rsid w:val="005449F2"/>
    <w:rsid w:val="00544C77"/>
    <w:rsid w:val="005451C6"/>
    <w:rsid w:val="0054534A"/>
    <w:rsid w:val="00545D2A"/>
    <w:rsid w:val="0054635F"/>
    <w:rsid w:val="0054675B"/>
    <w:rsid w:val="00546937"/>
    <w:rsid w:val="00550339"/>
    <w:rsid w:val="00550CD7"/>
    <w:rsid w:val="0055145B"/>
    <w:rsid w:val="00551B43"/>
    <w:rsid w:val="00552156"/>
    <w:rsid w:val="00552F3F"/>
    <w:rsid w:val="005535C1"/>
    <w:rsid w:val="005539AA"/>
    <w:rsid w:val="00554CF3"/>
    <w:rsid w:val="00555DED"/>
    <w:rsid w:val="005560CB"/>
    <w:rsid w:val="00556FDD"/>
    <w:rsid w:val="005602C4"/>
    <w:rsid w:val="00560318"/>
    <w:rsid w:val="00561175"/>
    <w:rsid w:val="00561CE8"/>
    <w:rsid w:val="00562054"/>
    <w:rsid w:val="00565E28"/>
    <w:rsid w:val="00566040"/>
    <w:rsid w:val="00567F7D"/>
    <w:rsid w:val="00570DDE"/>
    <w:rsid w:val="00572287"/>
    <w:rsid w:val="005739AF"/>
    <w:rsid w:val="00575870"/>
    <w:rsid w:val="00576C3D"/>
    <w:rsid w:val="00577B7D"/>
    <w:rsid w:val="00580526"/>
    <w:rsid w:val="005826A2"/>
    <w:rsid w:val="005826A4"/>
    <w:rsid w:val="0058270F"/>
    <w:rsid w:val="005842C8"/>
    <w:rsid w:val="005844A7"/>
    <w:rsid w:val="00586FE2"/>
    <w:rsid w:val="00591868"/>
    <w:rsid w:val="0059190A"/>
    <w:rsid w:val="00594273"/>
    <w:rsid w:val="005945C9"/>
    <w:rsid w:val="0059524B"/>
    <w:rsid w:val="00596F6D"/>
    <w:rsid w:val="00596F9B"/>
    <w:rsid w:val="005A0013"/>
    <w:rsid w:val="005A0EB6"/>
    <w:rsid w:val="005A1B6D"/>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2B89"/>
    <w:rsid w:val="005C7200"/>
    <w:rsid w:val="005C7697"/>
    <w:rsid w:val="005C785A"/>
    <w:rsid w:val="005D25F4"/>
    <w:rsid w:val="005D2A7A"/>
    <w:rsid w:val="005D408E"/>
    <w:rsid w:val="005D45D4"/>
    <w:rsid w:val="005D5D43"/>
    <w:rsid w:val="005D6400"/>
    <w:rsid w:val="005D6AC2"/>
    <w:rsid w:val="005D731C"/>
    <w:rsid w:val="005E1068"/>
    <w:rsid w:val="005E13BA"/>
    <w:rsid w:val="005E1BDD"/>
    <w:rsid w:val="005E2585"/>
    <w:rsid w:val="005E5493"/>
    <w:rsid w:val="005E6799"/>
    <w:rsid w:val="005E755E"/>
    <w:rsid w:val="005E7CA8"/>
    <w:rsid w:val="005F1B7F"/>
    <w:rsid w:val="005F1D87"/>
    <w:rsid w:val="005F325E"/>
    <w:rsid w:val="005F36E3"/>
    <w:rsid w:val="005F5E67"/>
    <w:rsid w:val="005F7114"/>
    <w:rsid w:val="006003EF"/>
    <w:rsid w:val="006008F2"/>
    <w:rsid w:val="00600D9D"/>
    <w:rsid w:val="00600E07"/>
    <w:rsid w:val="006011B7"/>
    <w:rsid w:val="006032FF"/>
    <w:rsid w:val="00603357"/>
    <w:rsid w:val="00603B78"/>
    <w:rsid w:val="00604911"/>
    <w:rsid w:val="00604FA9"/>
    <w:rsid w:val="006070AA"/>
    <w:rsid w:val="00607413"/>
    <w:rsid w:val="006076BC"/>
    <w:rsid w:val="00610706"/>
    <w:rsid w:val="00611FC2"/>
    <w:rsid w:val="006130FC"/>
    <w:rsid w:val="0061384C"/>
    <w:rsid w:val="006147C1"/>
    <w:rsid w:val="00616CF7"/>
    <w:rsid w:val="00616F14"/>
    <w:rsid w:val="00617E50"/>
    <w:rsid w:val="00620115"/>
    <w:rsid w:val="006209B4"/>
    <w:rsid w:val="00620DDC"/>
    <w:rsid w:val="00622799"/>
    <w:rsid w:val="0062305F"/>
    <w:rsid w:val="00623B0B"/>
    <w:rsid w:val="00623BD7"/>
    <w:rsid w:val="00627DFD"/>
    <w:rsid w:val="0063029B"/>
    <w:rsid w:val="00630C79"/>
    <w:rsid w:val="006316E5"/>
    <w:rsid w:val="00631786"/>
    <w:rsid w:val="00633EA1"/>
    <w:rsid w:val="0063407A"/>
    <w:rsid w:val="00634396"/>
    <w:rsid w:val="00635CFE"/>
    <w:rsid w:val="006360EB"/>
    <w:rsid w:val="00636596"/>
    <w:rsid w:val="0063706F"/>
    <w:rsid w:val="00637805"/>
    <w:rsid w:val="0064114E"/>
    <w:rsid w:val="00641D4D"/>
    <w:rsid w:val="00642069"/>
    <w:rsid w:val="00643C82"/>
    <w:rsid w:val="006440A1"/>
    <w:rsid w:val="006440DF"/>
    <w:rsid w:val="0064458A"/>
    <w:rsid w:val="0064462A"/>
    <w:rsid w:val="006463AE"/>
    <w:rsid w:val="00646CEC"/>
    <w:rsid w:val="0064752C"/>
    <w:rsid w:val="00647B63"/>
    <w:rsid w:val="00647BBD"/>
    <w:rsid w:val="00650E4B"/>
    <w:rsid w:val="00652AA9"/>
    <w:rsid w:val="00653D8D"/>
    <w:rsid w:val="00654DE2"/>
    <w:rsid w:val="00654E7F"/>
    <w:rsid w:val="006550D0"/>
    <w:rsid w:val="00655AB1"/>
    <w:rsid w:val="00656B91"/>
    <w:rsid w:val="00656C8C"/>
    <w:rsid w:val="00657672"/>
    <w:rsid w:val="00657815"/>
    <w:rsid w:val="0066098F"/>
    <w:rsid w:val="00661B19"/>
    <w:rsid w:val="00664F87"/>
    <w:rsid w:val="00667A41"/>
    <w:rsid w:val="0067025F"/>
    <w:rsid w:val="006711BA"/>
    <w:rsid w:val="00671507"/>
    <w:rsid w:val="00671B85"/>
    <w:rsid w:val="00672C23"/>
    <w:rsid w:val="00674EA3"/>
    <w:rsid w:val="0067505E"/>
    <w:rsid w:val="006762DA"/>
    <w:rsid w:val="0067642A"/>
    <w:rsid w:val="00677719"/>
    <w:rsid w:val="0068102F"/>
    <w:rsid w:val="00681287"/>
    <w:rsid w:val="006830E1"/>
    <w:rsid w:val="00685C4F"/>
    <w:rsid w:val="00686ABD"/>
    <w:rsid w:val="00687D5F"/>
    <w:rsid w:val="006905CD"/>
    <w:rsid w:val="00690EAC"/>
    <w:rsid w:val="00691173"/>
    <w:rsid w:val="00691AA4"/>
    <w:rsid w:val="00691BD5"/>
    <w:rsid w:val="00692DEB"/>
    <w:rsid w:val="00694EAF"/>
    <w:rsid w:val="006950BA"/>
    <w:rsid w:val="00695B77"/>
    <w:rsid w:val="00695E13"/>
    <w:rsid w:val="00696C68"/>
    <w:rsid w:val="00697153"/>
    <w:rsid w:val="006975C8"/>
    <w:rsid w:val="00697993"/>
    <w:rsid w:val="006A088A"/>
    <w:rsid w:val="006A25B4"/>
    <w:rsid w:val="006A4C91"/>
    <w:rsid w:val="006A4F32"/>
    <w:rsid w:val="006A578A"/>
    <w:rsid w:val="006A658C"/>
    <w:rsid w:val="006B051D"/>
    <w:rsid w:val="006B13F3"/>
    <w:rsid w:val="006B246E"/>
    <w:rsid w:val="006B24DB"/>
    <w:rsid w:val="006B4793"/>
    <w:rsid w:val="006B51A3"/>
    <w:rsid w:val="006B589F"/>
    <w:rsid w:val="006B7ED6"/>
    <w:rsid w:val="006C01A3"/>
    <w:rsid w:val="006C026C"/>
    <w:rsid w:val="006C0363"/>
    <w:rsid w:val="006C3940"/>
    <w:rsid w:val="006C3A87"/>
    <w:rsid w:val="006C4945"/>
    <w:rsid w:val="006C590D"/>
    <w:rsid w:val="006C5F4F"/>
    <w:rsid w:val="006C69F5"/>
    <w:rsid w:val="006C71AB"/>
    <w:rsid w:val="006C7ECF"/>
    <w:rsid w:val="006D0204"/>
    <w:rsid w:val="006D2664"/>
    <w:rsid w:val="006D4269"/>
    <w:rsid w:val="006D5F5A"/>
    <w:rsid w:val="006D6661"/>
    <w:rsid w:val="006D66AA"/>
    <w:rsid w:val="006D7096"/>
    <w:rsid w:val="006E2AF9"/>
    <w:rsid w:val="006E70B7"/>
    <w:rsid w:val="006E7725"/>
    <w:rsid w:val="006F0C5E"/>
    <w:rsid w:val="006F4C79"/>
    <w:rsid w:val="006F692B"/>
    <w:rsid w:val="007012D9"/>
    <w:rsid w:val="007043D0"/>
    <w:rsid w:val="00704EE5"/>
    <w:rsid w:val="00705EAB"/>
    <w:rsid w:val="00706A90"/>
    <w:rsid w:val="007073AB"/>
    <w:rsid w:val="00710452"/>
    <w:rsid w:val="007105D7"/>
    <w:rsid w:val="00710DD3"/>
    <w:rsid w:val="00710DDA"/>
    <w:rsid w:val="00711FC7"/>
    <w:rsid w:val="00712273"/>
    <w:rsid w:val="00715532"/>
    <w:rsid w:val="007169B7"/>
    <w:rsid w:val="00716F0A"/>
    <w:rsid w:val="0071734C"/>
    <w:rsid w:val="00721CAB"/>
    <w:rsid w:val="0072436A"/>
    <w:rsid w:val="00724B49"/>
    <w:rsid w:val="00730939"/>
    <w:rsid w:val="007331B4"/>
    <w:rsid w:val="00733BBD"/>
    <w:rsid w:val="007347B3"/>
    <w:rsid w:val="00734E37"/>
    <w:rsid w:val="00737154"/>
    <w:rsid w:val="00737A1B"/>
    <w:rsid w:val="00737A41"/>
    <w:rsid w:val="0074102F"/>
    <w:rsid w:val="00741752"/>
    <w:rsid w:val="00743015"/>
    <w:rsid w:val="0074550A"/>
    <w:rsid w:val="00745EB0"/>
    <w:rsid w:val="0074745C"/>
    <w:rsid w:val="007476B0"/>
    <w:rsid w:val="007508BB"/>
    <w:rsid w:val="0075174F"/>
    <w:rsid w:val="00751CBD"/>
    <w:rsid w:val="00751EB8"/>
    <w:rsid w:val="00753AD3"/>
    <w:rsid w:val="00754020"/>
    <w:rsid w:val="007554CA"/>
    <w:rsid w:val="00755827"/>
    <w:rsid w:val="00756693"/>
    <w:rsid w:val="00756FC8"/>
    <w:rsid w:val="00757408"/>
    <w:rsid w:val="00760BCB"/>
    <w:rsid w:val="00761A27"/>
    <w:rsid w:val="00762871"/>
    <w:rsid w:val="00762A3B"/>
    <w:rsid w:val="007654CB"/>
    <w:rsid w:val="00765908"/>
    <w:rsid w:val="0076690B"/>
    <w:rsid w:val="00770BE0"/>
    <w:rsid w:val="00771CBE"/>
    <w:rsid w:val="0077259D"/>
    <w:rsid w:val="0077303E"/>
    <w:rsid w:val="007733F0"/>
    <w:rsid w:val="00774BAB"/>
    <w:rsid w:val="00777656"/>
    <w:rsid w:val="00777EA0"/>
    <w:rsid w:val="00777FB4"/>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E9B"/>
    <w:rsid w:val="007A4CC3"/>
    <w:rsid w:val="007A550F"/>
    <w:rsid w:val="007A743D"/>
    <w:rsid w:val="007A7F1C"/>
    <w:rsid w:val="007B07F8"/>
    <w:rsid w:val="007B1122"/>
    <w:rsid w:val="007B1140"/>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D7FCC"/>
    <w:rsid w:val="007E09F7"/>
    <w:rsid w:val="007E15E9"/>
    <w:rsid w:val="007E1977"/>
    <w:rsid w:val="007E1A2B"/>
    <w:rsid w:val="007E268B"/>
    <w:rsid w:val="007E4843"/>
    <w:rsid w:val="007E4E3E"/>
    <w:rsid w:val="007E50B6"/>
    <w:rsid w:val="007E60DE"/>
    <w:rsid w:val="007F0841"/>
    <w:rsid w:val="007F3587"/>
    <w:rsid w:val="007F3A83"/>
    <w:rsid w:val="007F3AF9"/>
    <w:rsid w:val="007F3BE4"/>
    <w:rsid w:val="007F41CA"/>
    <w:rsid w:val="007F5155"/>
    <w:rsid w:val="007F62BC"/>
    <w:rsid w:val="007F63C9"/>
    <w:rsid w:val="007F642A"/>
    <w:rsid w:val="007F669B"/>
    <w:rsid w:val="007F7671"/>
    <w:rsid w:val="007F7BAF"/>
    <w:rsid w:val="007F7D2D"/>
    <w:rsid w:val="0080515B"/>
    <w:rsid w:val="0080708A"/>
    <w:rsid w:val="00807B93"/>
    <w:rsid w:val="00807EF9"/>
    <w:rsid w:val="0081052B"/>
    <w:rsid w:val="00810D1E"/>
    <w:rsid w:val="00810FCE"/>
    <w:rsid w:val="008125A0"/>
    <w:rsid w:val="00813892"/>
    <w:rsid w:val="00814052"/>
    <w:rsid w:val="008144AF"/>
    <w:rsid w:val="00814917"/>
    <w:rsid w:val="00814BAB"/>
    <w:rsid w:val="00814D98"/>
    <w:rsid w:val="00814E50"/>
    <w:rsid w:val="00814E98"/>
    <w:rsid w:val="00815A2A"/>
    <w:rsid w:val="008160E5"/>
    <w:rsid w:val="008162A4"/>
    <w:rsid w:val="008223C1"/>
    <w:rsid w:val="0082241A"/>
    <w:rsid w:val="00822A34"/>
    <w:rsid w:val="00824030"/>
    <w:rsid w:val="008256CC"/>
    <w:rsid w:val="00827928"/>
    <w:rsid w:val="0083001F"/>
    <w:rsid w:val="00830C61"/>
    <w:rsid w:val="00830DCD"/>
    <w:rsid w:val="008345D1"/>
    <w:rsid w:val="008347DF"/>
    <w:rsid w:val="008353C7"/>
    <w:rsid w:val="00835B60"/>
    <w:rsid w:val="00836BBF"/>
    <w:rsid w:val="00837D7A"/>
    <w:rsid w:val="00840B7B"/>
    <w:rsid w:val="00842C2D"/>
    <w:rsid w:val="00842E87"/>
    <w:rsid w:val="00844470"/>
    <w:rsid w:val="00844F48"/>
    <w:rsid w:val="008455C3"/>
    <w:rsid w:val="00846310"/>
    <w:rsid w:val="0084695A"/>
    <w:rsid w:val="00846D3E"/>
    <w:rsid w:val="00847C04"/>
    <w:rsid w:val="00847C3A"/>
    <w:rsid w:val="00847E9A"/>
    <w:rsid w:val="00850332"/>
    <w:rsid w:val="00850974"/>
    <w:rsid w:val="008516C2"/>
    <w:rsid w:val="00852C1F"/>
    <w:rsid w:val="008575D7"/>
    <w:rsid w:val="00862123"/>
    <w:rsid w:val="008621CC"/>
    <w:rsid w:val="00862CF1"/>
    <w:rsid w:val="00864A2C"/>
    <w:rsid w:val="0086530E"/>
    <w:rsid w:val="00866D42"/>
    <w:rsid w:val="008676FA"/>
    <w:rsid w:val="008704F0"/>
    <w:rsid w:val="008728B3"/>
    <w:rsid w:val="00872D01"/>
    <w:rsid w:val="00873093"/>
    <w:rsid w:val="00874DB3"/>
    <w:rsid w:val="0087627C"/>
    <w:rsid w:val="00876ACA"/>
    <w:rsid w:val="00877930"/>
    <w:rsid w:val="00881B78"/>
    <w:rsid w:val="00881C17"/>
    <w:rsid w:val="008825D9"/>
    <w:rsid w:val="00882B6A"/>
    <w:rsid w:val="00882E29"/>
    <w:rsid w:val="00883B38"/>
    <w:rsid w:val="00884A65"/>
    <w:rsid w:val="00885194"/>
    <w:rsid w:val="0088570C"/>
    <w:rsid w:val="008857A7"/>
    <w:rsid w:val="00887D89"/>
    <w:rsid w:val="0089102A"/>
    <w:rsid w:val="00895941"/>
    <w:rsid w:val="00896F68"/>
    <w:rsid w:val="008976A3"/>
    <w:rsid w:val="00897A03"/>
    <w:rsid w:val="008A141F"/>
    <w:rsid w:val="008A395C"/>
    <w:rsid w:val="008A3ECE"/>
    <w:rsid w:val="008A44C7"/>
    <w:rsid w:val="008A4565"/>
    <w:rsid w:val="008A4C16"/>
    <w:rsid w:val="008B028F"/>
    <w:rsid w:val="008B08E7"/>
    <w:rsid w:val="008B12DA"/>
    <w:rsid w:val="008B239B"/>
    <w:rsid w:val="008B23F8"/>
    <w:rsid w:val="008B3478"/>
    <w:rsid w:val="008B363A"/>
    <w:rsid w:val="008B4349"/>
    <w:rsid w:val="008B49FD"/>
    <w:rsid w:val="008B5C47"/>
    <w:rsid w:val="008B5E86"/>
    <w:rsid w:val="008B734D"/>
    <w:rsid w:val="008B7919"/>
    <w:rsid w:val="008C1239"/>
    <w:rsid w:val="008C16B4"/>
    <w:rsid w:val="008C25E2"/>
    <w:rsid w:val="008C28F7"/>
    <w:rsid w:val="008C3454"/>
    <w:rsid w:val="008C7B5E"/>
    <w:rsid w:val="008C7BBB"/>
    <w:rsid w:val="008D0390"/>
    <w:rsid w:val="008D1372"/>
    <w:rsid w:val="008D1564"/>
    <w:rsid w:val="008D1E05"/>
    <w:rsid w:val="008D60A0"/>
    <w:rsid w:val="008D6D67"/>
    <w:rsid w:val="008D7774"/>
    <w:rsid w:val="008D793B"/>
    <w:rsid w:val="008D7AA3"/>
    <w:rsid w:val="008D7B09"/>
    <w:rsid w:val="008D7B59"/>
    <w:rsid w:val="008E07B6"/>
    <w:rsid w:val="008E1D24"/>
    <w:rsid w:val="008E24DA"/>
    <w:rsid w:val="008E2E0C"/>
    <w:rsid w:val="008E4CC9"/>
    <w:rsid w:val="008E4D90"/>
    <w:rsid w:val="008E54F4"/>
    <w:rsid w:val="008E6291"/>
    <w:rsid w:val="008E717D"/>
    <w:rsid w:val="008F1DB0"/>
    <w:rsid w:val="008F2110"/>
    <w:rsid w:val="008F3FB7"/>
    <w:rsid w:val="008F46FA"/>
    <w:rsid w:val="008F54E5"/>
    <w:rsid w:val="008F5729"/>
    <w:rsid w:val="008F6003"/>
    <w:rsid w:val="008F7C21"/>
    <w:rsid w:val="008F7CB6"/>
    <w:rsid w:val="008F7DCC"/>
    <w:rsid w:val="00900C30"/>
    <w:rsid w:val="00902602"/>
    <w:rsid w:val="00902A43"/>
    <w:rsid w:val="00903717"/>
    <w:rsid w:val="00903ED0"/>
    <w:rsid w:val="009047AB"/>
    <w:rsid w:val="00905A3E"/>
    <w:rsid w:val="009068B6"/>
    <w:rsid w:val="00910B5E"/>
    <w:rsid w:val="00910DE6"/>
    <w:rsid w:val="00911BD1"/>
    <w:rsid w:val="00913463"/>
    <w:rsid w:val="00913DDC"/>
    <w:rsid w:val="00914683"/>
    <w:rsid w:val="00914E1D"/>
    <w:rsid w:val="009152F8"/>
    <w:rsid w:val="00916AA5"/>
    <w:rsid w:val="009175DA"/>
    <w:rsid w:val="00920269"/>
    <w:rsid w:val="00920A9C"/>
    <w:rsid w:val="00921EDE"/>
    <w:rsid w:val="00922B67"/>
    <w:rsid w:val="00923896"/>
    <w:rsid w:val="009238E9"/>
    <w:rsid w:val="00923FA6"/>
    <w:rsid w:val="00924044"/>
    <w:rsid w:val="00925F3A"/>
    <w:rsid w:val="009275C3"/>
    <w:rsid w:val="0093116C"/>
    <w:rsid w:val="00932C69"/>
    <w:rsid w:val="0093477F"/>
    <w:rsid w:val="00934FD9"/>
    <w:rsid w:val="0093618E"/>
    <w:rsid w:val="009379AA"/>
    <w:rsid w:val="00943134"/>
    <w:rsid w:val="00943FB0"/>
    <w:rsid w:val="00944085"/>
    <w:rsid w:val="00947E6D"/>
    <w:rsid w:val="00950739"/>
    <w:rsid w:val="009507AE"/>
    <w:rsid w:val="009507D8"/>
    <w:rsid w:val="0095536D"/>
    <w:rsid w:val="00955466"/>
    <w:rsid w:val="009604BA"/>
    <w:rsid w:val="0096080A"/>
    <w:rsid w:val="009623D1"/>
    <w:rsid w:val="009624BB"/>
    <w:rsid w:val="009632FA"/>
    <w:rsid w:val="00963829"/>
    <w:rsid w:val="00963E39"/>
    <w:rsid w:val="00965B98"/>
    <w:rsid w:val="009677A5"/>
    <w:rsid w:val="0097016D"/>
    <w:rsid w:val="0097151F"/>
    <w:rsid w:val="009722EC"/>
    <w:rsid w:val="00972CB0"/>
    <w:rsid w:val="0097508A"/>
    <w:rsid w:val="0097620F"/>
    <w:rsid w:val="009815A8"/>
    <w:rsid w:val="00981747"/>
    <w:rsid w:val="00981789"/>
    <w:rsid w:val="00982645"/>
    <w:rsid w:val="00983AB7"/>
    <w:rsid w:val="00984422"/>
    <w:rsid w:val="0098443F"/>
    <w:rsid w:val="00987318"/>
    <w:rsid w:val="009878D3"/>
    <w:rsid w:val="00991654"/>
    <w:rsid w:val="00993178"/>
    <w:rsid w:val="009937FA"/>
    <w:rsid w:val="00993934"/>
    <w:rsid w:val="00996F50"/>
    <w:rsid w:val="00997E79"/>
    <w:rsid w:val="009A10A3"/>
    <w:rsid w:val="009A2623"/>
    <w:rsid w:val="009A4BB1"/>
    <w:rsid w:val="009A4CF4"/>
    <w:rsid w:val="009A5E08"/>
    <w:rsid w:val="009A5E62"/>
    <w:rsid w:val="009A64A3"/>
    <w:rsid w:val="009A68E2"/>
    <w:rsid w:val="009B05CE"/>
    <w:rsid w:val="009B2742"/>
    <w:rsid w:val="009B34BB"/>
    <w:rsid w:val="009B4FCE"/>
    <w:rsid w:val="009B531B"/>
    <w:rsid w:val="009B6096"/>
    <w:rsid w:val="009B60F5"/>
    <w:rsid w:val="009B7020"/>
    <w:rsid w:val="009B7BAA"/>
    <w:rsid w:val="009B7FB9"/>
    <w:rsid w:val="009C16E2"/>
    <w:rsid w:val="009C1860"/>
    <w:rsid w:val="009C2EAF"/>
    <w:rsid w:val="009C3244"/>
    <w:rsid w:val="009C3962"/>
    <w:rsid w:val="009C4358"/>
    <w:rsid w:val="009C4DDC"/>
    <w:rsid w:val="009C57D4"/>
    <w:rsid w:val="009C5B98"/>
    <w:rsid w:val="009C65BD"/>
    <w:rsid w:val="009C6605"/>
    <w:rsid w:val="009C68A5"/>
    <w:rsid w:val="009C7830"/>
    <w:rsid w:val="009C7907"/>
    <w:rsid w:val="009D010B"/>
    <w:rsid w:val="009D0125"/>
    <w:rsid w:val="009D0493"/>
    <w:rsid w:val="009D0C53"/>
    <w:rsid w:val="009D1444"/>
    <w:rsid w:val="009D20DF"/>
    <w:rsid w:val="009D211E"/>
    <w:rsid w:val="009D2130"/>
    <w:rsid w:val="009D39F1"/>
    <w:rsid w:val="009D3EEF"/>
    <w:rsid w:val="009D477C"/>
    <w:rsid w:val="009D51F7"/>
    <w:rsid w:val="009D6422"/>
    <w:rsid w:val="009D6F3E"/>
    <w:rsid w:val="009E09C8"/>
    <w:rsid w:val="009E2209"/>
    <w:rsid w:val="009E23FB"/>
    <w:rsid w:val="009E2FC6"/>
    <w:rsid w:val="009E3945"/>
    <w:rsid w:val="009E5832"/>
    <w:rsid w:val="009E61AA"/>
    <w:rsid w:val="009E6726"/>
    <w:rsid w:val="009E7A83"/>
    <w:rsid w:val="009E7F9C"/>
    <w:rsid w:val="009F005E"/>
    <w:rsid w:val="009F0F21"/>
    <w:rsid w:val="009F219B"/>
    <w:rsid w:val="009F2741"/>
    <w:rsid w:val="009F2A55"/>
    <w:rsid w:val="009F37ED"/>
    <w:rsid w:val="009F43A4"/>
    <w:rsid w:val="009F47CE"/>
    <w:rsid w:val="009F4E79"/>
    <w:rsid w:val="009F696F"/>
    <w:rsid w:val="009F73CC"/>
    <w:rsid w:val="00A0034D"/>
    <w:rsid w:val="00A00FAB"/>
    <w:rsid w:val="00A01FAC"/>
    <w:rsid w:val="00A02834"/>
    <w:rsid w:val="00A03147"/>
    <w:rsid w:val="00A0363F"/>
    <w:rsid w:val="00A03BA4"/>
    <w:rsid w:val="00A03D4F"/>
    <w:rsid w:val="00A051CC"/>
    <w:rsid w:val="00A056D3"/>
    <w:rsid w:val="00A07889"/>
    <w:rsid w:val="00A12E1C"/>
    <w:rsid w:val="00A13E67"/>
    <w:rsid w:val="00A160F9"/>
    <w:rsid w:val="00A165CD"/>
    <w:rsid w:val="00A17876"/>
    <w:rsid w:val="00A17A37"/>
    <w:rsid w:val="00A17F1C"/>
    <w:rsid w:val="00A20BA9"/>
    <w:rsid w:val="00A22FAB"/>
    <w:rsid w:val="00A24A06"/>
    <w:rsid w:val="00A25BB0"/>
    <w:rsid w:val="00A26217"/>
    <w:rsid w:val="00A26B79"/>
    <w:rsid w:val="00A26D5A"/>
    <w:rsid w:val="00A30250"/>
    <w:rsid w:val="00A3196C"/>
    <w:rsid w:val="00A32DF3"/>
    <w:rsid w:val="00A36606"/>
    <w:rsid w:val="00A36CC6"/>
    <w:rsid w:val="00A40BFE"/>
    <w:rsid w:val="00A411C5"/>
    <w:rsid w:val="00A42F90"/>
    <w:rsid w:val="00A445AB"/>
    <w:rsid w:val="00A44B27"/>
    <w:rsid w:val="00A4626C"/>
    <w:rsid w:val="00A46744"/>
    <w:rsid w:val="00A47832"/>
    <w:rsid w:val="00A50A25"/>
    <w:rsid w:val="00A52219"/>
    <w:rsid w:val="00A54FAC"/>
    <w:rsid w:val="00A56916"/>
    <w:rsid w:val="00A56DEA"/>
    <w:rsid w:val="00A604D3"/>
    <w:rsid w:val="00A607EE"/>
    <w:rsid w:val="00A61295"/>
    <w:rsid w:val="00A617C1"/>
    <w:rsid w:val="00A631D7"/>
    <w:rsid w:val="00A63E45"/>
    <w:rsid w:val="00A65ED3"/>
    <w:rsid w:val="00A668D1"/>
    <w:rsid w:val="00A67386"/>
    <w:rsid w:val="00A70290"/>
    <w:rsid w:val="00A716D7"/>
    <w:rsid w:val="00A71919"/>
    <w:rsid w:val="00A71A81"/>
    <w:rsid w:val="00A71E82"/>
    <w:rsid w:val="00A73481"/>
    <w:rsid w:val="00A736DB"/>
    <w:rsid w:val="00A73C69"/>
    <w:rsid w:val="00A7506F"/>
    <w:rsid w:val="00A75D09"/>
    <w:rsid w:val="00A75E0B"/>
    <w:rsid w:val="00A76C4C"/>
    <w:rsid w:val="00A76D83"/>
    <w:rsid w:val="00A8060B"/>
    <w:rsid w:val="00A80C70"/>
    <w:rsid w:val="00A814C9"/>
    <w:rsid w:val="00A86137"/>
    <w:rsid w:val="00A86817"/>
    <w:rsid w:val="00A868E6"/>
    <w:rsid w:val="00A87FCF"/>
    <w:rsid w:val="00A900ED"/>
    <w:rsid w:val="00A9247C"/>
    <w:rsid w:val="00A92A78"/>
    <w:rsid w:val="00A93597"/>
    <w:rsid w:val="00A936CD"/>
    <w:rsid w:val="00A94E96"/>
    <w:rsid w:val="00A970C3"/>
    <w:rsid w:val="00A97EAF"/>
    <w:rsid w:val="00AA17C6"/>
    <w:rsid w:val="00AA190A"/>
    <w:rsid w:val="00AA29D6"/>
    <w:rsid w:val="00AA34AE"/>
    <w:rsid w:val="00AA35E6"/>
    <w:rsid w:val="00AA439E"/>
    <w:rsid w:val="00AA6DD3"/>
    <w:rsid w:val="00AB0663"/>
    <w:rsid w:val="00AB0E48"/>
    <w:rsid w:val="00AB4115"/>
    <w:rsid w:val="00AB66DF"/>
    <w:rsid w:val="00AB6F60"/>
    <w:rsid w:val="00AC059F"/>
    <w:rsid w:val="00AC242D"/>
    <w:rsid w:val="00AC28B1"/>
    <w:rsid w:val="00AC3812"/>
    <w:rsid w:val="00AC4E08"/>
    <w:rsid w:val="00AC6C54"/>
    <w:rsid w:val="00AC6E8A"/>
    <w:rsid w:val="00AD3A6D"/>
    <w:rsid w:val="00AD3DBA"/>
    <w:rsid w:val="00AD434D"/>
    <w:rsid w:val="00AD4D61"/>
    <w:rsid w:val="00AD4FED"/>
    <w:rsid w:val="00AD522F"/>
    <w:rsid w:val="00AD57E2"/>
    <w:rsid w:val="00AD680F"/>
    <w:rsid w:val="00AD7321"/>
    <w:rsid w:val="00AE1759"/>
    <w:rsid w:val="00AE1D92"/>
    <w:rsid w:val="00AE225D"/>
    <w:rsid w:val="00AE2E7C"/>
    <w:rsid w:val="00AE3380"/>
    <w:rsid w:val="00AE3989"/>
    <w:rsid w:val="00AE5522"/>
    <w:rsid w:val="00AE62BA"/>
    <w:rsid w:val="00AE73FB"/>
    <w:rsid w:val="00AF0969"/>
    <w:rsid w:val="00AF0C39"/>
    <w:rsid w:val="00AF14D6"/>
    <w:rsid w:val="00AF1A26"/>
    <w:rsid w:val="00AF36DF"/>
    <w:rsid w:val="00AF3CC7"/>
    <w:rsid w:val="00AF6EF0"/>
    <w:rsid w:val="00B0171D"/>
    <w:rsid w:val="00B01BFF"/>
    <w:rsid w:val="00B03531"/>
    <w:rsid w:val="00B04692"/>
    <w:rsid w:val="00B0647C"/>
    <w:rsid w:val="00B06A6F"/>
    <w:rsid w:val="00B06E64"/>
    <w:rsid w:val="00B06FA8"/>
    <w:rsid w:val="00B07F3C"/>
    <w:rsid w:val="00B11E55"/>
    <w:rsid w:val="00B1302D"/>
    <w:rsid w:val="00B14C13"/>
    <w:rsid w:val="00B15587"/>
    <w:rsid w:val="00B17C12"/>
    <w:rsid w:val="00B2333B"/>
    <w:rsid w:val="00B23879"/>
    <w:rsid w:val="00B24A0F"/>
    <w:rsid w:val="00B24D54"/>
    <w:rsid w:val="00B25226"/>
    <w:rsid w:val="00B30963"/>
    <w:rsid w:val="00B30A15"/>
    <w:rsid w:val="00B30DB5"/>
    <w:rsid w:val="00B3219E"/>
    <w:rsid w:val="00B32D72"/>
    <w:rsid w:val="00B33BDD"/>
    <w:rsid w:val="00B3446D"/>
    <w:rsid w:val="00B3513C"/>
    <w:rsid w:val="00B352A1"/>
    <w:rsid w:val="00B356D0"/>
    <w:rsid w:val="00B3656C"/>
    <w:rsid w:val="00B36D02"/>
    <w:rsid w:val="00B37F63"/>
    <w:rsid w:val="00B408FD"/>
    <w:rsid w:val="00B41423"/>
    <w:rsid w:val="00B42554"/>
    <w:rsid w:val="00B43627"/>
    <w:rsid w:val="00B450B8"/>
    <w:rsid w:val="00B46806"/>
    <w:rsid w:val="00B47558"/>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4E2E"/>
    <w:rsid w:val="00B6505C"/>
    <w:rsid w:val="00B6574B"/>
    <w:rsid w:val="00B662AA"/>
    <w:rsid w:val="00B66FC1"/>
    <w:rsid w:val="00B67D01"/>
    <w:rsid w:val="00B70DE5"/>
    <w:rsid w:val="00B71D1A"/>
    <w:rsid w:val="00B725A7"/>
    <w:rsid w:val="00B72B79"/>
    <w:rsid w:val="00B72D45"/>
    <w:rsid w:val="00B73C48"/>
    <w:rsid w:val="00B743A4"/>
    <w:rsid w:val="00B752DE"/>
    <w:rsid w:val="00B75C73"/>
    <w:rsid w:val="00B77189"/>
    <w:rsid w:val="00B800C0"/>
    <w:rsid w:val="00B8206B"/>
    <w:rsid w:val="00B8266F"/>
    <w:rsid w:val="00B83968"/>
    <w:rsid w:val="00B84D28"/>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46F"/>
    <w:rsid w:val="00BA085B"/>
    <w:rsid w:val="00BA1095"/>
    <w:rsid w:val="00BA1551"/>
    <w:rsid w:val="00BA192B"/>
    <w:rsid w:val="00BA1CCC"/>
    <w:rsid w:val="00BA2017"/>
    <w:rsid w:val="00BA301E"/>
    <w:rsid w:val="00BA4921"/>
    <w:rsid w:val="00BA4ED1"/>
    <w:rsid w:val="00BB06DC"/>
    <w:rsid w:val="00BB0CED"/>
    <w:rsid w:val="00BB10A7"/>
    <w:rsid w:val="00BB2C0F"/>
    <w:rsid w:val="00BB4547"/>
    <w:rsid w:val="00BB5148"/>
    <w:rsid w:val="00BB5155"/>
    <w:rsid w:val="00BB5669"/>
    <w:rsid w:val="00BB687F"/>
    <w:rsid w:val="00BB6A38"/>
    <w:rsid w:val="00BB7891"/>
    <w:rsid w:val="00BC0575"/>
    <w:rsid w:val="00BC0EC6"/>
    <w:rsid w:val="00BC1E49"/>
    <w:rsid w:val="00BC3DBC"/>
    <w:rsid w:val="00BC4DA6"/>
    <w:rsid w:val="00BC6BE5"/>
    <w:rsid w:val="00BC70AA"/>
    <w:rsid w:val="00BD0C54"/>
    <w:rsid w:val="00BD2A88"/>
    <w:rsid w:val="00BD314C"/>
    <w:rsid w:val="00BD3C8F"/>
    <w:rsid w:val="00BD45CF"/>
    <w:rsid w:val="00BD4C86"/>
    <w:rsid w:val="00BD5E7C"/>
    <w:rsid w:val="00BE2EA0"/>
    <w:rsid w:val="00BE3D82"/>
    <w:rsid w:val="00BE42EF"/>
    <w:rsid w:val="00BE4404"/>
    <w:rsid w:val="00BE4649"/>
    <w:rsid w:val="00BE470D"/>
    <w:rsid w:val="00BE5196"/>
    <w:rsid w:val="00BE5474"/>
    <w:rsid w:val="00BE7212"/>
    <w:rsid w:val="00BE788A"/>
    <w:rsid w:val="00BF0468"/>
    <w:rsid w:val="00BF1001"/>
    <w:rsid w:val="00BF2B33"/>
    <w:rsid w:val="00BF2BC9"/>
    <w:rsid w:val="00BF3A8D"/>
    <w:rsid w:val="00BF476F"/>
    <w:rsid w:val="00BF537F"/>
    <w:rsid w:val="00BF5612"/>
    <w:rsid w:val="00BF58AF"/>
    <w:rsid w:val="00BF79C8"/>
    <w:rsid w:val="00BF7BC7"/>
    <w:rsid w:val="00C00869"/>
    <w:rsid w:val="00C00BEE"/>
    <w:rsid w:val="00C016FB"/>
    <w:rsid w:val="00C02A63"/>
    <w:rsid w:val="00C030BD"/>
    <w:rsid w:val="00C03888"/>
    <w:rsid w:val="00C0437E"/>
    <w:rsid w:val="00C0486E"/>
    <w:rsid w:val="00C05295"/>
    <w:rsid w:val="00C06418"/>
    <w:rsid w:val="00C1016D"/>
    <w:rsid w:val="00C106AE"/>
    <w:rsid w:val="00C1138B"/>
    <w:rsid w:val="00C12679"/>
    <w:rsid w:val="00C127A7"/>
    <w:rsid w:val="00C12FB6"/>
    <w:rsid w:val="00C1511E"/>
    <w:rsid w:val="00C16013"/>
    <w:rsid w:val="00C16047"/>
    <w:rsid w:val="00C20FE3"/>
    <w:rsid w:val="00C22556"/>
    <w:rsid w:val="00C2260F"/>
    <w:rsid w:val="00C23A80"/>
    <w:rsid w:val="00C25DCF"/>
    <w:rsid w:val="00C25FDD"/>
    <w:rsid w:val="00C264EA"/>
    <w:rsid w:val="00C26541"/>
    <w:rsid w:val="00C361B6"/>
    <w:rsid w:val="00C37DE2"/>
    <w:rsid w:val="00C40217"/>
    <w:rsid w:val="00C407FD"/>
    <w:rsid w:val="00C408F9"/>
    <w:rsid w:val="00C43831"/>
    <w:rsid w:val="00C459FD"/>
    <w:rsid w:val="00C45C9D"/>
    <w:rsid w:val="00C47339"/>
    <w:rsid w:val="00C5295E"/>
    <w:rsid w:val="00C529B6"/>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11B"/>
    <w:rsid w:val="00C74786"/>
    <w:rsid w:val="00C75456"/>
    <w:rsid w:val="00C80038"/>
    <w:rsid w:val="00C82472"/>
    <w:rsid w:val="00C82586"/>
    <w:rsid w:val="00C82AB7"/>
    <w:rsid w:val="00C838B9"/>
    <w:rsid w:val="00C83D50"/>
    <w:rsid w:val="00C84264"/>
    <w:rsid w:val="00C845B4"/>
    <w:rsid w:val="00C84C6B"/>
    <w:rsid w:val="00C866A8"/>
    <w:rsid w:val="00C86CC4"/>
    <w:rsid w:val="00C871FB"/>
    <w:rsid w:val="00C87B39"/>
    <w:rsid w:val="00C91310"/>
    <w:rsid w:val="00C915EC"/>
    <w:rsid w:val="00C91EE5"/>
    <w:rsid w:val="00C920C2"/>
    <w:rsid w:val="00C92B39"/>
    <w:rsid w:val="00C934B3"/>
    <w:rsid w:val="00C94D4A"/>
    <w:rsid w:val="00C956AE"/>
    <w:rsid w:val="00C95B92"/>
    <w:rsid w:val="00C95E4C"/>
    <w:rsid w:val="00C96A4A"/>
    <w:rsid w:val="00C97B86"/>
    <w:rsid w:val="00C97C11"/>
    <w:rsid w:val="00CA1642"/>
    <w:rsid w:val="00CA2C91"/>
    <w:rsid w:val="00CA4250"/>
    <w:rsid w:val="00CA5D9C"/>
    <w:rsid w:val="00CA5EC7"/>
    <w:rsid w:val="00CA6439"/>
    <w:rsid w:val="00CB25A8"/>
    <w:rsid w:val="00CB2902"/>
    <w:rsid w:val="00CB3E2F"/>
    <w:rsid w:val="00CB4412"/>
    <w:rsid w:val="00CB46D0"/>
    <w:rsid w:val="00CB4E36"/>
    <w:rsid w:val="00CB5B8D"/>
    <w:rsid w:val="00CC05D6"/>
    <w:rsid w:val="00CC06CE"/>
    <w:rsid w:val="00CC0B17"/>
    <w:rsid w:val="00CC0C57"/>
    <w:rsid w:val="00CC0F84"/>
    <w:rsid w:val="00CC18C4"/>
    <w:rsid w:val="00CC3546"/>
    <w:rsid w:val="00CC7367"/>
    <w:rsid w:val="00CD0099"/>
    <w:rsid w:val="00CD1EFA"/>
    <w:rsid w:val="00CD25CE"/>
    <w:rsid w:val="00CD26D7"/>
    <w:rsid w:val="00CD5AE8"/>
    <w:rsid w:val="00CD637C"/>
    <w:rsid w:val="00CD6632"/>
    <w:rsid w:val="00CD762E"/>
    <w:rsid w:val="00CE18B8"/>
    <w:rsid w:val="00CE25F4"/>
    <w:rsid w:val="00CE2FAA"/>
    <w:rsid w:val="00CE4383"/>
    <w:rsid w:val="00CE5D64"/>
    <w:rsid w:val="00CF0496"/>
    <w:rsid w:val="00CF17E3"/>
    <w:rsid w:val="00CF20ED"/>
    <w:rsid w:val="00CF3500"/>
    <w:rsid w:val="00CF357F"/>
    <w:rsid w:val="00CF3B9C"/>
    <w:rsid w:val="00CF51E1"/>
    <w:rsid w:val="00CF54D3"/>
    <w:rsid w:val="00D024E7"/>
    <w:rsid w:val="00D02577"/>
    <w:rsid w:val="00D053F8"/>
    <w:rsid w:val="00D05581"/>
    <w:rsid w:val="00D06B42"/>
    <w:rsid w:val="00D07985"/>
    <w:rsid w:val="00D10425"/>
    <w:rsid w:val="00D11216"/>
    <w:rsid w:val="00D14674"/>
    <w:rsid w:val="00D14D89"/>
    <w:rsid w:val="00D155D6"/>
    <w:rsid w:val="00D163B6"/>
    <w:rsid w:val="00D1687D"/>
    <w:rsid w:val="00D17EBB"/>
    <w:rsid w:val="00D20E74"/>
    <w:rsid w:val="00D21460"/>
    <w:rsid w:val="00D216D7"/>
    <w:rsid w:val="00D24864"/>
    <w:rsid w:val="00D2521A"/>
    <w:rsid w:val="00D25F92"/>
    <w:rsid w:val="00D26446"/>
    <w:rsid w:val="00D31BD1"/>
    <w:rsid w:val="00D323D0"/>
    <w:rsid w:val="00D32B12"/>
    <w:rsid w:val="00D3517D"/>
    <w:rsid w:val="00D358B2"/>
    <w:rsid w:val="00D35CA0"/>
    <w:rsid w:val="00D3656A"/>
    <w:rsid w:val="00D36693"/>
    <w:rsid w:val="00D405E8"/>
    <w:rsid w:val="00D40650"/>
    <w:rsid w:val="00D40B50"/>
    <w:rsid w:val="00D40EB5"/>
    <w:rsid w:val="00D4189A"/>
    <w:rsid w:val="00D41D61"/>
    <w:rsid w:val="00D42897"/>
    <w:rsid w:val="00D44217"/>
    <w:rsid w:val="00D44D30"/>
    <w:rsid w:val="00D4502B"/>
    <w:rsid w:val="00D46833"/>
    <w:rsid w:val="00D46F1B"/>
    <w:rsid w:val="00D47515"/>
    <w:rsid w:val="00D50768"/>
    <w:rsid w:val="00D50968"/>
    <w:rsid w:val="00D52919"/>
    <w:rsid w:val="00D52CAC"/>
    <w:rsid w:val="00D532E6"/>
    <w:rsid w:val="00D53368"/>
    <w:rsid w:val="00D53444"/>
    <w:rsid w:val="00D537CB"/>
    <w:rsid w:val="00D540FF"/>
    <w:rsid w:val="00D5525B"/>
    <w:rsid w:val="00D55412"/>
    <w:rsid w:val="00D5656B"/>
    <w:rsid w:val="00D574CA"/>
    <w:rsid w:val="00D6064F"/>
    <w:rsid w:val="00D6079F"/>
    <w:rsid w:val="00D6145E"/>
    <w:rsid w:val="00D61636"/>
    <w:rsid w:val="00D61E5A"/>
    <w:rsid w:val="00D62867"/>
    <w:rsid w:val="00D63665"/>
    <w:rsid w:val="00D63C57"/>
    <w:rsid w:val="00D63F07"/>
    <w:rsid w:val="00D644E6"/>
    <w:rsid w:val="00D64D31"/>
    <w:rsid w:val="00D64DB3"/>
    <w:rsid w:val="00D65008"/>
    <w:rsid w:val="00D660AC"/>
    <w:rsid w:val="00D66C39"/>
    <w:rsid w:val="00D66DE9"/>
    <w:rsid w:val="00D679FD"/>
    <w:rsid w:val="00D67FD8"/>
    <w:rsid w:val="00D70651"/>
    <w:rsid w:val="00D72685"/>
    <w:rsid w:val="00D72C48"/>
    <w:rsid w:val="00D7659A"/>
    <w:rsid w:val="00D77A39"/>
    <w:rsid w:val="00D83565"/>
    <w:rsid w:val="00D8359D"/>
    <w:rsid w:val="00D83D82"/>
    <w:rsid w:val="00D85836"/>
    <w:rsid w:val="00D858B5"/>
    <w:rsid w:val="00D85E7A"/>
    <w:rsid w:val="00D867DA"/>
    <w:rsid w:val="00D870CB"/>
    <w:rsid w:val="00D91FE2"/>
    <w:rsid w:val="00D92F0D"/>
    <w:rsid w:val="00DA167D"/>
    <w:rsid w:val="00DA189F"/>
    <w:rsid w:val="00DA21E7"/>
    <w:rsid w:val="00DA2D6F"/>
    <w:rsid w:val="00DA31F5"/>
    <w:rsid w:val="00DA754E"/>
    <w:rsid w:val="00DB0545"/>
    <w:rsid w:val="00DB1B90"/>
    <w:rsid w:val="00DB38E9"/>
    <w:rsid w:val="00DB72B7"/>
    <w:rsid w:val="00DB7414"/>
    <w:rsid w:val="00DB783D"/>
    <w:rsid w:val="00DC2051"/>
    <w:rsid w:val="00DC2CF3"/>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127"/>
    <w:rsid w:val="00DD7453"/>
    <w:rsid w:val="00DE03FE"/>
    <w:rsid w:val="00DE076B"/>
    <w:rsid w:val="00DE3D6F"/>
    <w:rsid w:val="00DE44FC"/>
    <w:rsid w:val="00DE4684"/>
    <w:rsid w:val="00DE4811"/>
    <w:rsid w:val="00DE4D3D"/>
    <w:rsid w:val="00DE4DE6"/>
    <w:rsid w:val="00DE53F4"/>
    <w:rsid w:val="00DE5F82"/>
    <w:rsid w:val="00DE7362"/>
    <w:rsid w:val="00DF206E"/>
    <w:rsid w:val="00DF37D1"/>
    <w:rsid w:val="00DF4F27"/>
    <w:rsid w:val="00E018D2"/>
    <w:rsid w:val="00E01C42"/>
    <w:rsid w:val="00E01D6F"/>
    <w:rsid w:val="00E034C1"/>
    <w:rsid w:val="00E051DF"/>
    <w:rsid w:val="00E0539D"/>
    <w:rsid w:val="00E05AE3"/>
    <w:rsid w:val="00E064F4"/>
    <w:rsid w:val="00E06766"/>
    <w:rsid w:val="00E10421"/>
    <w:rsid w:val="00E10531"/>
    <w:rsid w:val="00E10593"/>
    <w:rsid w:val="00E1141F"/>
    <w:rsid w:val="00E11431"/>
    <w:rsid w:val="00E11A21"/>
    <w:rsid w:val="00E11E60"/>
    <w:rsid w:val="00E129F4"/>
    <w:rsid w:val="00E12EF9"/>
    <w:rsid w:val="00E149D8"/>
    <w:rsid w:val="00E15CA9"/>
    <w:rsid w:val="00E173AD"/>
    <w:rsid w:val="00E201DD"/>
    <w:rsid w:val="00E20C8B"/>
    <w:rsid w:val="00E21B75"/>
    <w:rsid w:val="00E228B8"/>
    <w:rsid w:val="00E22A11"/>
    <w:rsid w:val="00E246BF"/>
    <w:rsid w:val="00E27002"/>
    <w:rsid w:val="00E27896"/>
    <w:rsid w:val="00E27CD4"/>
    <w:rsid w:val="00E3192D"/>
    <w:rsid w:val="00E31A9C"/>
    <w:rsid w:val="00E362CA"/>
    <w:rsid w:val="00E407B4"/>
    <w:rsid w:val="00E40DB4"/>
    <w:rsid w:val="00E4124F"/>
    <w:rsid w:val="00E41E3C"/>
    <w:rsid w:val="00E4285E"/>
    <w:rsid w:val="00E44069"/>
    <w:rsid w:val="00E44198"/>
    <w:rsid w:val="00E44907"/>
    <w:rsid w:val="00E46436"/>
    <w:rsid w:val="00E50C82"/>
    <w:rsid w:val="00E5133C"/>
    <w:rsid w:val="00E52DE9"/>
    <w:rsid w:val="00E5617C"/>
    <w:rsid w:val="00E565C8"/>
    <w:rsid w:val="00E5706B"/>
    <w:rsid w:val="00E5744E"/>
    <w:rsid w:val="00E5792F"/>
    <w:rsid w:val="00E57ADA"/>
    <w:rsid w:val="00E60A87"/>
    <w:rsid w:val="00E6242E"/>
    <w:rsid w:val="00E63473"/>
    <w:rsid w:val="00E646B1"/>
    <w:rsid w:val="00E647DA"/>
    <w:rsid w:val="00E659D8"/>
    <w:rsid w:val="00E65E53"/>
    <w:rsid w:val="00E66193"/>
    <w:rsid w:val="00E66294"/>
    <w:rsid w:val="00E666DA"/>
    <w:rsid w:val="00E67083"/>
    <w:rsid w:val="00E6799E"/>
    <w:rsid w:val="00E679A0"/>
    <w:rsid w:val="00E7056A"/>
    <w:rsid w:val="00E7095D"/>
    <w:rsid w:val="00E72F41"/>
    <w:rsid w:val="00E73289"/>
    <w:rsid w:val="00E73502"/>
    <w:rsid w:val="00E739A8"/>
    <w:rsid w:val="00E73A9C"/>
    <w:rsid w:val="00E74BA7"/>
    <w:rsid w:val="00E76444"/>
    <w:rsid w:val="00E772C5"/>
    <w:rsid w:val="00E81379"/>
    <w:rsid w:val="00E81617"/>
    <w:rsid w:val="00E818EC"/>
    <w:rsid w:val="00E8384B"/>
    <w:rsid w:val="00E83C8A"/>
    <w:rsid w:val="00E84921"/>
    <w:rsid w:val="00E852BA"/>
    <w:rsid w:val="00E854E9"/>
    <w:rsid w:val="00E859B3"/>
    <w:rsid w:val="00E8725C"/>
    <w:rsid w:val="00E90FE2"/>
    <w:rsid w:val="00E912BE"/>
    <w:rsid w:val="00E9192E"/>
    <w:rsid w:val="00E91C02"/>
    <w:rsid w:val="00E9229C"/>
    <w:rsid w:val="00E978EF"/>
    <w:rsid w:val="00EA0249"/>
    <w:rsid w:val="00EA0AAB"/>
    <w:rsid w:val="00EA1164"/>
    <w:rsid w:val="00EA15A7"/>
    <w:rsid w:val="00EA2578"/>
    <w:rsid w:val="00EA40D7"/>
    <w:rsid w:val="00EA6F3F"/>
    <w:rsid w:val="00EB0429"/>
    <w:rsid w:val="00EB0D7A"/>
    <w:rsid w:val="00EB261F"/>
    <w:rsid w:val="00EB2951"/>
    <w:rsid w:val="00EB2DDC"/>
    <w:rsid w:val="00EB3D60"/>
    <w:rsid w:val="00EB68B6"/>
    <w:rsid w:val="00EB6968"/>
    <w:rsid w:val="00EC005A"/>
    <w:rsid w:val="00EC0E2C"/>
    <w:rsid w:val="00EC1575"/>
    <w:rsid w:val="00EC1C82"/>
    <w:rsid w:val="00EC20BA"/>
    <w:rsid w:val="00EC3D77"/>
    <w:rsid w:val="00EC4855"/>
    <w:rsid w:val="00EC5940"/>
    <w:rsid w:val="00EC629D"/>
    <w:rsid w:val="00EC6866"/>
    <w:rsid w:val="00ED2060"/>
    <w:rsid w:val="00ED22DF"/>
    <w:rsid w:val="00ED30E7"/>
    <w:rsid w:val="00ED3EFC"/>
    <w:rsid w:val="00ED4083"/>
    <w:rsid w:val="00ED4C59"/>
    <w:rsid w:val="00ED4EF9"/>
    <w:rsid w:val="00ED5427"/>
    <w:rsid w:val="00EE068B"/>
    <w:rsid w:val="00EE10DA"/>
    <w:rsid w:val="00EE12BB"/>
    <w:rsid w:val="00EE42D3"/>
    <w:rsid w:val="00EE483D"/>
    <w:rsid w:val="00EE4D5C"/>
    <w:rsid w:val="00EE4F89"/>
    <w:rsid w:val="00EE63E8"/>
    <w:rsid w:val="00EE655A"/>
    <w:rsid w:val="00EE6C6B"/>
    <w:rsid w:val="00EE7E27"/>
    <w:rsid w:val="00EF1207"/>
    <w:rsid w:val="00EF1751"/>
    <w:rsid w:val="00EF1C7D"/>
    <w:rsid w:val="00EF4B0F"/>
    <w:rsid w:val="00EF7A2B"/>
    <w:rsid w:val="00F016E6"/>
    <w:rsid w:val="00F039FB"/>
    <w:rsid w:val="00F044C4"/>
    <w:rsid w:val="00F060C0"/>
    <w:rsid w:val="00F07DAF"/>
    <w:rsid w:val="00F10572"/>
    <w:rsid w:val="00F13D96"/>
    <w:rsid w:val="00F14A16"/>
    <w:rsid w:val="00F1568B"/>
    <w:rsid w:val="00F16EE9"/>
    <w:rsid w:val="00F17618"/>
    <w:rsid w:val="00F17746"/>
    <w:rsid w:val="00F2079B"/>
    <w:rsid w:val="00F21451"/>
    <w:rsid w:val="00F24FAB"/>
    <w:rsid w:val="00F25D9C"/>
    <w:rsid w:val="00F268D2"/>
    <w:rsid w:val="00F30455"/>
    <w:rsid w:val="00F3124F"/>
    <w:rsid w:val="00F3328C"/>
    <w:rsid w:val="00F3452F"/>
    <w:rsid w:val="00F3479B"/>
    <w:rsid w:val="00F3512A"/>
    <w:rsid w:val="00F3587D"/>
    <w:rsid w:val="00F35B57"/>
    <w:rsid w:val="00F35F65"/>
    <w:rsid w:val="00F36B13"/>
    <w:rsid w:val="00F36D5F"/>
    <w:rsid w:val="00F37773"/>
    <w:rsid w:val="00F40AAC"/>
    <w:rsid w:val="00F41603"/>
    <w:rsid w:val="00F4244C"/>
    <w:rsid w:val="00F42812"/>
    <w:rsid w:val="00F42915"/>
    <w:rsid w:val="00F42CF7"/>
    <w:rsid w:val="00F43A35"/>
    <w:rsid w:val="00F44788"/>
    <w:rsid w:val="00F45CCB"/>
    <w:rsid w:val="00F47875"/>
    <w:rsid w:val="00F47D28"/>
    <w:rsid w:val="00F51FD9"/>
    <w:rsid w:val="00F52DBE"/>
    <w:rsid w:val="00F5405F"/>
    <w:rsid w:val="00F54536"/>
    <w:rsid w:val="00F54C07"/>
    <w:rsid w:val="00F54C09"/>
    <w:rsid w:val="00F562C8"/>
    <w:rsid w:val="00F5647F"/>
    <w:rsid w:val="00F572B0"/>
    <w:rsid w:val="00F57B0B"/>
    <w:rsid w:val="00F605FF"/>
    <w:rsid w:val="00F61BFE"/>
    <w:rsid w:val="00F63396"/>
    <w:rsid w:val="00F63C7D"/>
    <w:rsid w:val="00F63EE6"/>
    <w:rsid w:val="00F64425"/>
    <w:rsid w:val="00F64CBE"/>
    <w:rsid w:val="00F650E3"/>
    <w:rsid w:val="00F65A27"/>
    <w:rsid w:val="00F663D1"/>
    <w:rsid w:val="00F667C9"/>
    <w:rsid w:val="00F66907"/>
    <w:rsid w:val="00F66CC9"/>
    <w:rsid w:val="00F67400"/>
    <w:rsid w:val="00F674CB"/>
    <w:rsid w:val="00F67A44"/>
    <w:rsid w:val="00F708D4"/>
    <w:rsid w:val="00F726F9"/>
    <w:rsid w:val="00F72DD5"/>
    <w:rsid w:val="00F74FF9"/>
    <w:rsid w:val="00F77797"/>
    <w:rsid w:val="00F8250E"/>
    <w:rsid w:val="00F8351C"/>
    <w:rsid w:val="00F83EE6"/>
    <w:rsid w:val="00F859AD"/>
    <w:rsid w:val="00F86146"/>
    <w:rsid w:val="00F865DD"/>
    <w:rsid w:val="00F86BAA"/>
    <w:rsid w:val="00F93F04"/>
    <w:rsid w:val="00F95F64"/>
    <w:rsid w:val="00F9653E"/>
    <w:rsid w:val="00FA1231"/>
    <w:rsid w:val="00FA1961"/>
    <w:rsid w:val="00FA1EE5"/>
    <w:rsid w:val="00FA63E2"/>
    <w:rsid w:val="00FA6C49"/>
    <w:rsid w:val="00FA6C63"/>
    <w:rsid w:val="00FA7072"/>
    <w:rsid w:val="00FA7926"/>
    <w:rsid w:val="00FB155C"/>
    <w:rsid w:val="00FB1924"/>
    <w:rsid w:val="00FB1D95"/>
    <w:rsid w:val="00FB2914"/>
    <w:rsid w:val="00FB3912"/>
    <w:rsid w:val="00FB5A87"/>
    <w:rsid w:val="00FB62B8"/>
    <w:rsid w:val="00FB633D"/>
    <w:rsid w:val="00FB69A8"/>
    <w:rsid w:val="00FB6DA0"/>
    <w:rsid w:val="00FC16CA"/>
    <w:rsid w:val="00FC1DB1"/>
    <w:rsid w:val="00FC282E"/>
    <w:rsid w:val="00FC290C"/>
    <w:rsid w:val="00FC2CB4"/>
    <w:rsid w:val="00FC4DB6"/>
    <w:rsid w:val="00FC5FBF"/>
    <w:rsid w:val="00FC6864"/>
    <w:rsid w:val="00FC6A21"/>
    <w:rsid w:val="00FC79DA"/>
    <w:rsid w:val="00FC7C97"/>
    <w:rsid w:val="00FD1F70"/>
    <w:rsid w:val="00FD2561"/>
    <w:rsid w:val="00FD2C6D"/>
    <w:rsid w:val="00FD3BF7"/>
    <w:rsid w:val="00FD3CA0"/>
    <w:rsid w:val="00FD7BC9"/>
    <w:rsid w:val="00FD7BFE"/>
    <w:rsid w:val="00FD7EAD"/>
    <w:rsid w:val="00FE0F5E"/>
    <w:rsid w:val="00FE1639"/>
    <w:rsid w:val="00FE3727"/>
    <w:rsid w:val="00FE5E16"/>
    <w:rsid w:val="00FE6D22"/>
    <w:rsid w:val="00FF23C6"/>
    <w:rsid w:val="00FF25A2"/>
    <w:rsid w:val="00FF2884"/>
    <w:rsid w:val="00FF2AFF"/>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07355758">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67919778">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00779695">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791631243">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1674656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579705786">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49044744">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 w:id="2102143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CCA0-154F-4569-AE90-04D139AE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17</Pages>
  <Words>4179</Words>
  <Characters>22986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Ivanna Beatriz Cituk Hernández</cp:lastModifiedBy>
  <cp:revision>360</cp:revision>
  <cp:lastPrinted>2024-08-28T16:03:00Z</cp:lastPrinted>
  <dcterms:created xsi:type="dcterms:W3CDTF">2022-12-05T15:52:00Z</dcterms:created>
  <dcterms:modified xsi:type="dcterms:W3CDTF">2024-08-28T20:26:00Z</dcterms:modified>
</cp:coreProperties>
</file>